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B6EBB">
      <w:pPr>
        <w:pStyle w:val="33"/>
      </w:pPr>
      <w:bookmarkStart w:id="12" w:name="_GoBack"/>
      <w:r>
        <w:t>An Interpretation of the Small Journeys Exhibition</w:t>
      </w:r>
    </w:p>
    <w:p w14:paraId="78D0AE67">
      <w:pPr>
        <w:spacing w:before="200"/>
      </w:pPr>
      <w:r>
        <w:rPr>
          <w:b/>
        </w:rPr>
        <w:t>Contents</w:t>
      </w:r>
    </w:p>
    <w:p w14:paraId="08564D7F">
      <w:pPr>
        <w:pStyle w:val="26"/>
        <w:tabs>
          <w:tab w:val="right" w:leader="dot" w:pos="9638"/>
        </w:tabs>
      </w:pPr>
      <w:r>
        <w:fldChar w:fldCharType="begin"/>
      </w:r>
      <w:r>
        <w:instrText xml:space="preserve"> TOC \o "1-2" \h \z \u </w:instrText>
      </w:r>
      <w:r>
        <w:fldChar w:fldCharType="separate"/>
      </w:r>
      <w:r>
        <w:fldChar w:fldCharType="begin"/>
      </w:r>
      <w:r>
        <w:instrText xml:space="preserve"> HYPERLINK \l _Toc334104194 </w:instrText>
      </w:r>
      <w:r>
        <w:fldChar w:fldCharType="separate"/>
      </w:r>
      <w:r>
        <w:t>Entering the exhibition</w:t>
      </w:r>
      <w:r>
        <w:tab/>
      </w:r>
      <w:r>
        <w:fldChar w:fldCharType="begin"/>
      </w:r>
      <w:r>
        <w:instrText xml:space="preserve"> PAGEREF _Toc334104194 \h </w:instrText>
      </w:r>
      <w:r>
        <w:fldChar w:fldCharType="separate"/>
      </w:r>
      <w:r>
        <w:t>2</w:t>
      </w:r>
      <w:r>
        <w:fldChar w:fldCharType="end"/>
      </w:r>
      <w:r>
        <w:fldChar w:fldCharType="end"/>
      </w:r>
    </w:p>
    <w:p w14:paraId="785C30C6">
      <w:pPr>
        <w:pStyle w:val="26"/>
        <w:tabs>
          <w:tab w:val="right" w:leader="dot" w:pos="9638"/>
        </w:tabs>
      </w:pPr>
      <w:r>
        <w:fldChar w:fldCharType="begin"/>
      </w:r>
      <w:r>
        <w:instrText xml:space="preserve"> HYPERLINK \l _Toc1766935300 </w:instrText>
      </w:r>
      <w:r>
        <w:fldChar w:fldCharType="separate"/>
      </w:r>
      <w:r>
        <w:t>Containers and the expectation of return</w:t>
      </w:r>
      <w:r>
        <w:tab/>
      </w:r>
      <w:r>
        <w:fldChar w:fldCharType="begin"/>
      </w:r>
      <w:r>
        <w:instrText xml:space="preserve"> PAGEREF _Toc1766935300 \h </w:instrText>
      </w:r>
      <w:r>
        <w:fldChar w:fldCharType="separate"/>
      </w:r>
      <w:r>
        <w:t>2</w:t>
      </w:r>
      <w:r>
        <w:fldChar w:fldCharType="end"/>
      </w:r>
      <w:r>
        <w:fldChar w:fldCharType="end"/>
      </w:r>
    </w:p>
    <w:p w14:paraId="2A96C099">
      <w:pPr>
        <w:pStyle w:val="29"/>
        <w:tabs>
          <w:tab w:val="right" w:leader="dot" w:pos="9638"/>
        </w:tabs>
      </w:pPr>
      <w:r>
        <w:fldChar w:fldCharType="begin"/>
      </w:r>
      <w:r>
        <w:instrText xml:space="preserve"> HYPERLINK \l _Toc1477716384 </w:instrText>
      </w:r>
      <w:r>
        <w:fldChar w:fldCharType="separate"/>
      </w:r>
      <w:r>
        <w:t>The folded map</w:t>
      </w:r>
      <w:r>
        <w:tab/>
      </w:r>
      <w:r>
        <w:fldChar w:fldCharType="begin"/>
      </w:r>
      <w:r>
        <w:instrText xml:space="preserve"> PAGEREF _Toc1477716384 \h </w:instrText>
      </w:r>
      <w:r>
        <w:fldChar w:fldCharType="separate"/>
      </w:r>
      <w:r>
        <w:t>2</w:t>
      </w:r>
      <w:r>
        <w:fldChar w:fldCharType="end"/>
      </w:r>
      <w:r>
        <w:fldChar w:fldCharType="end"/>
      </w:r>
    </w:p>
    <w:p w14:paraId="26FD8575">
      <w:pPr>
        <w:pStyle w:val="29"/>
        <w:tabs>
          <w:tab w:val="right" w:leader="dot" w:pos="9638"/>
        </w:tabs>
      </w:pPr>
      <w:r>
        <w:fldChar w:fldCharType="begin"/>
      </w:r>
      <w:r>
        <w:instrText xml:space="preserve"> HYPERLINK \l _Toc330888333 </w:instrText>
      </w:r>
      <w:r>
        <w:fldChar w:fldCharType="separate"/>
      </w:r>
      <w:r>
        <w:t>The empty bottle</w:t>
      </w:r>
      <w:r>
        <w:tab/>
      </w:r>
      <w:r>
        <w:fldChar w:fldCharType="begin"/>
      </w:r>
      <w:r>
        <w:instrText xml:space="preserve"> PAGEREF _Toc330888333 \h </w:instrText>
      </w:r>
      <w:r>
        <w:fldChar w:fldCharType="separate"/>
      </w:r>
      <w:r>
        <w:t>3</w:t>
      </w:r>
      <w:r>
        <w:fldChar w:fldCharType="end"/>
      </w:r>
      <w:r>
        <w:fldChar w:fldCharType="end"/>
      </w:r>
    </w:p>
    <w:p w14:paraId="6996E461">
      <w:pPr>
        <w:pStyle w:val="26"/>
        <w:tabs>
          <w:tab w:val="right" w:leader="dot" w:pos="9638"/>
        </w:tabs>
      </w:pPr>
      <w:r>
        <w:fldChar w:fldCharType="begin"/>
      </w:r>
      <w:r>
        <w:instrText xml:space="preserve"> HYPERLINK \l _Toc1405050648 </w:instrText>
      </w:r>
      <w:r>
        <w:fldChar w:fldCharType="separate"/>
      </w:r>
      <w:r>
        <w:t>Marks that survive handling</w:t>
      </w:r>
      <w:r>
        <w:tab/>
      </w:r>
      <w:r>
        <w:fldChar w:fldCharType="begin"/>
      </w:r>
      <w:r>
        <w:instrText xml:space="preserve"> PAGEREF _Toc1405050648 \h </w:instrText>
      </w:r>
      <w:r>
        <w:fldChar w:fldCharType="separate"/>
      </w:r>
      <w:r>
        <w:t>3</w:t>
      </w:r>
      <w:r>
        <w:fldChar w:fldCharType="end"/>
      </w:r>
      <w:r>
        <w:fldChar w:fldCharType="end"/>
      </w:r>
    </w:p>
    <w:p w14:paraId="63E2C68E">
      <w:pPr>
        <w:pStyle w:val="29"/>
        <w:tabs>
          <w:tab w:val="right" w:leader="dot" w:pos="9638"/>
        </w:tabs>
      </w:pPr>
      <w:r>
        <w:fldChar w:fldCharType="begin"/>
      </w:r>
      <w:r>
        <w:instrText xml:space="preserve"> HYPERLINK \l _Toc956058524 </w:instrText>
      </w:r>
      <w:r>
        <w:fldChar w:fldCharType="separate"/>
      </w:r>
      <w:r>
        <w:t>The ticket wallet</w:t>
      </w:r>
      <w:r>
        <w:tab/>
      </w:r>
      <w:r>
        <w:fldChar w:fldCharType="begin"/>
      </w:r>
      <w:r>
        <w:instrText xml:space="preserve"> PAGEREF _Toc956058524 \h </w:instrText>
      </w:r>
      <w:r>
        <w:fldChar w:fldCharType="separate"/>
      </w:r>
      <w:r>
        <w:t>4</w:t>
      </w:r>
      <w:r>
        <w:fldChar w:fldCharType="end"/>
      </w:r>
      <w:r>
        <w:fldChar w:fldCharType="end"/>
      </w:r>
    </w:p>
    <w:p w14:paraId="6AFD446F">
      <w:pPr>
        <w:pStyle w:val="29"/>
        <w:tabs>
          <w:tab w:val="right" w:leader="dot" w:pos="9638"/>
        </w:tabs>
      </w:pPr>
      <w:r>
        <w:fldChar w:fldCharType="begin"/>
      </w:r>
      <w:r>
        <w:instrText xml:space="preserve"> HYPERLINK \l _Toc1002966014 </w:instrText>
      </w:r>
      <w:r>
        <w:fldChar w:fldCharType="separate"/>
      </w:r>
      <w:r>
        <w:t>The stitched cloth</w:t>
      </w:r>
      <w:r>
        <w:tab/>
      </w:r>
      <w:r>
        <w:fldChar w:fldCharType="begin"/>
      </w:r>
      <w:r>
        <w:instrText xml:space="preserve"> PAGEREF _Toc1002966014 \h </w:instrText>
      </w:r>
      <w:r>
        <w:fldChar w:fldCharType="separate"/>
      </w:r>
      <w:r>
        <w:t>4</w:t>
      </w:r>
      <w:r>
        <w:fldChar w:fldCharType="end"/>
      </w:r>
      <w:r>
        <w:fldChar w:fldCharType="end"/>
      </w:r>
    </w:p>
    <w:p w14:paraId="32794D1C">
      <w:pPr>
        <w:pStyle w:val="26"/>
        <w:tabs>
          <w:tab w:val="right" w:leader="dot" w:pos="9638"/>
        </w:tabs>
      </w:pPr>
      <w:r>
        <w:fldChar w:fldCharType="begin"/>
      </w:r>
      <w:r>
        <w:instrText xml:space="preserve"> HYPERLINK \l _Toc1250651995 </w:instrText>
      </w:r>
      <w:r>
        <w:fldChar w:fldCharType="separate"/>
      </w:r>
      <w:r>
        <w:t>Objects in company</w:t>
      </w:r>
      <w:r>
        <w:tab/>
      </w:r>
      <w:r>
        <w:fldChar w:fldCharType="begin"/>
      </w:r>
      <w:r>
        <w:instrText xml:space="preserve"> PAGEREF _Toc1250651995 \h </w:instrText>
      </w:r>
      <w:r>
        <w:fldChar w:fldCharType="separate"/>
      </w:r>
      <w:r>
        <w:t>4</w:t>
      </w:r>
      <w:r>
        <w:fldChar w:fldCharType="end"/>
      </w:r>
      <w:r>
        <w:fldChar w:fldCharType="end"/>
      </w:r>
    </w:p>
    <w:p w14:paraId="4AE3E0CD">
      <w:pPr>
        <w:pStyle w:val="26"/>
        <w:tabs>
          <w:tab w:val="right" w:leader="dot" w:pos="9638"/>
        </w:tabs>
      </w:pPr>
      <w:r>
        <w:fldChar w:fldCharType="begin"/>
      </w:r>
      <w:r>
        <w:instrText xml:space="preserve"> HYPERLINK \l _Toc138143129 </w:instrText>
      </w:r>
      <w:r>
        <w:fldChar w:fldCharType="separate"/>
      </w:r>
      <w:r>
        <w:t>The space between cases</w:t>
      </w:r>
      <w:r>
        <w:tab/>
      </w:r>
      <w:r>
        <w:fldChar w:fldCharType="begin"/>
      </w:r>
      <w:r>
        <w:instrText xml:space="preserve"> PAGEREF _Toc138143129 \h </w:instrText>
      </w:r>
      <w:r>
        <w:fldChar w:fldCharType="separate"/>
      </w:r>
      <w:r>
        <w:t>5</w:t>
      </w:r>
      <w:r>
        <w:fldChar w:fldCharType="end"/>
      </w:r>
      <w:r>
        <w:fldChar w:fldCharType="end"/>
      </w:r>
    </w:p>
    <w:p w14:paraId="1AEC99E3">
      <w:pPr>
        <w:pStyle w:val="29"/>
        <w:tabs>
          <w:tab w:val="right" w:leader="dot" w:pos="9638"/>
        </w:tabs>
      </w:pPr>
      <w:r>
        <w:fldChar w:fldCharType="begin"/>
      </w:r>
      <w:r>
        <w:instrText xml:space="preserve"> HYPERLINK \l _Toc341746696 </w:instrText>
      </w:r>
      <w:r>
        <w:fldChar w:fldCharType="separate"/>
      </w:r>
      <w:r>
        <w:t>Light and surface</w:t>
      </w:r>
      <w:r>
        <w:tab/>
      </w:r>
      <w:r>
        <w:fldChar w:fldCharType="begin"/>
      </w:r>
      <w:r>
        <w:instrText xml:space="preserve"> PAGEREF _Toc341746696 \h </w:instrText>
      </w:r>
      <w:r>
        <w:fldChar w:fldCharType="separate"/>
      </w:r>
      <w:r>
        <w:t>6</w:t>
      </w:r>
      <w:r>
        <w:fldChar w:fldCharType="end"/>
      </w:r>
      <w:r>
        <w:fldChar w:fldCharType="end"/>
      </w:r>
    </w:p>
    <w:p w14:paraId="10860C4C">
      <w:pPr>
        <w:pStyle w:val="29"/>
        <w:tabs>
          <w:tab w:val="right" w:leader="dot" w:pos="9638"/>
        </w:tabs>
      </w:pPr>
      <w:r>
        <w:fldChar w:fldCharType="begin"/>
      </w:r>
      <w:r>
        <w:instrText xml:space="preserve"> HYPERLINK \l _Toc1365447594 </w:instrText>
      </w:r>
      <w:r>
        <w:fldChar w:fldCharType="separate"/>
      </w:r>
      <w:r>
        <w:t>A place to pause</w:t>
      </w:r>
      <w:r>
        <w:tab/>
      </w:r>
      <w:r>
        <w:fldChar w:fldCharType="begin"/>
      </w:r>
      <w:r>
        <w:instrText xml:space="preserve"> PAGEREF _Toc1365447594 \h </w:instrText>
      </w:r>
      <w:r>
        <w:fldChar w:fldCharType="separate"/>
      </w:r>
      <w:r>
        <w:t>6</w:t>
      </w:r>
      <w:r>
        <w:fldChar w:fldCharType="end"/>
      </w:r>
      <w:r>
        <w:fldChar w:fldCharType="end"/>
      </w:r>
    </w:p>
    <w:p w14:paraId="465D8B71">
      <w:pPr>
        <w:pStyle w:val="26"/>
        <w:tabs>
          <w:tab w:val="right" w:leader="dot" w:pos="9638"/>
        </w:tabs>
      </w:pPr>
      <w:r>
        <w:fldChar w:fldCharType="begin"/>
      </w:r>
      <w:r>
        <w:instrText xml:space="preserve"> HYPERLINK \l _Toc1067460516 </w:instrText>
      </w:r>
      <w:r>
        <w:fldChar w:fldCharType="separate"/>
      </w:r>
      <w:r>
        <w:t>Keeping an ending open</w:t>
      </w:r>
      <w:r>
        <w:tab/>
      </w:r>
      <w:r>
        <w:fldChar w:fldCharType="begin"/>
      </w:r>
      <w:r>
        <w:instrText xml:space="preserve"> PAGEREF _Toc1067460516 \h </w:instrText>
      </w:r>
      <w:r>
        <w:fldChar w:fldCharType="separate"/>
      </w:r>
      <w:r>
        <w:t>6</w:t>
      </w:r>
      <w:r>
        <w:fldChar w:fldCharType="end"/>
      </w:r>
      <w:r>
        <w:fldChar w:fldCharType="end"/>
      </w:r>
    </w:p>
    <w:p w14:paraId="5F15DDA6">
      <w:r>
        <w:fldChar w:fldCharType="end"/>
      </w:r>
    </w:p>
    <w:p w14:paraId="5B6B86E8">
      <w:r>
        <w:br w:type="page"/>
      </w:r>
    </w:p>
    <w:p w14:paraId="4C6DFA26">
      <w:pPr>
        <w:pStyle w:val="3"/>
      </w:pPr>
      <w:bookmarkStart w:id="0" w:name="_Toc334104194"/>
      <w:r>
        <w:t>Entering the exhibition</w:t>
      </w:r>
      <w:bookmarkEnd w:id="0"/>
    </w:p>
    <w:p w14:paraId="2AF919A0">
      <w:r>
        <w:t>Small Journeys is an imagined exhibition of ordinary objects that could fit inside a coat pocket, a shopping bag, or a kitchen drawer. Its objects and display arrangements are fictional. The exhibition considers how repeated handling changes what an object means. A folded map can carry the memory of a route without recording the person who walked it. A repaired cloth can make an interval of care visible without supplying a complete story of its owner.</w:t>
      </w:r>
    </w:p>
    <w:p w14:paraId="2BB124A9">
      <w:r>
        <w:t>The rooms are arranged around these incomplete relationships. There is no named traveller whose possessions explain everything, and there is no final destination toward which every case points. A visitor encounters a shallow bowl, an empty bottle, a wallet for tickets, and several less easily classified fragments. Each retains a practical shape while acquiring another role through display. The exhibition asks how much can be understood from a material trace and where interpretation begins to exceed what is visible.</w:t>
      </w:r>
    </w:p>
    <w:p w14:paraId="16E46035">
      <w:r>
        <w:t>The small scale matters because it makes looking an uneven activity. From the doorway, a pale object may appear almost blank. At the case, a worn edge or a line of stitching becomes legible. A person moving quickly and a person who stops for several minutes do not encounter quite the same exhibition. Neither pace is treated as an error. The arrangement leaves enough visible form to support an initial impression and enough detail to complicate it later.</w:t>
      </w:r>
    </w:p>
    <w:p w14:paraId="2AE997D8">
      <w:r>
        <w:t>This essay follows the exhibition's movement from containers to marks, then to groups of objects and the spaces around them. The object table records the same invented displays in a more compact form. Its descriptions are part of the interpretation, rather than evidence from a real collection. Throughout the rooms, the central question is how an object can suggest a journey while leaving its particular history open.</w:t>
      </w:r>
    </w:p>
    <w:p w14:paraId="4BA2223C">
      <w:pPr>
        <w:pStyle w:val="3"/>
      </w:pPr>
      <w:bookmarkStart w:id="1" w:name="_Toc1766935300"/>
      <w:r>
        <w:t>Containers and the expectation of return</w:t>
      </w:r>
      <w:bookmarkEnd w:id="1"/>
    </w:p>
    <w:p w14:paraId="577C35A7">
      <w:r>
        <w:t>A container gives shape to something that is elsewhere. The shallow bowl near the entrance holds nothing, but its curved interior establishes a place in which something could rest. The bottle beside it has the outline of a vessel intended to be carried. Its emptiness does not cancel that purpose. It lets the viewer imagine a series of fillings and emptyings without selecting any one occasion as the correct explanation.</w:t>
      </w:r>
    </w:p>
    <w:p w14:paraId="24177EC6">
      <w:r>
        <w:t>The display gives these objects different distances from the front of the case. The bowl is close enough for its rim to appear almost level with the viewer's hand. The bottle sits farther back, with a gap around its base. That difference changes their apparent availability. One seems almost ready to be picked up; the other is more firmly located in the exhibition. The distinction comes from an arrangement, not from an asserted difference in their original value.</w:t>
      </w:r>
    </w:p>
    <w:p w14:paraId="17962BA6">
      <w:r>
        <w:t>Both objects also contain a future possibility. A bowl can receive something again, and a bottle can be filled again. Display suspends those possibilities without erasing them. The viewer can understand why each form exists while being unable to perform its usual action. This pause gives familiar shapes a slight uncertainty. Their usefulness remains easy to recognize, but it no longer determines the entire encounter.</w:t>
      </w:r>
    </w:p>
    <w:p w14:paraId="6EE01A84">
      <w:pPr>
        <w:pStyle w:val="4"/>
      </w:pPr>
      <w:bookmarkStart w:id="2" w:name="_Toc1477716384"/>
      <w:r>
        <w:t>The folded map</w:t>
      </w:r>
      <w:bookmarkEnd w:id="2"/>
    </w:p>
    <w:p w14:paraId="18BE94B4">
      <w:r>
        <w:t>The map has been folded into a rectangle smaller than its printed field. Several lines disappear at the creases, then reappear on the next visible panel. The display does not open it completely. A route can therefore be followed only for a short distance before the paper interrupts it. The map's promise of continuous orientation is present, but the physical object allows only a partial view of the system printed on it.</w:t>
      </w:r>
    </w:p>
    <w:p w14:paraId="7F88AED0">
      <w:r>
        <w:t>One fold is darker than the others. That mark suggests repeated use of the same configuration, perhaps because a particular section was more often needed. It does not identify a place or a person. The exhibition keeps that distinction visible by showing the fold clearly while leaving the map's invented place names indistinct. Wear supports the idea of repetition; a detailed biography would require a different kind of evidence.</w:t>
      </w:r>
    </w:p>
    <w:p w14:paraId="309559D0">
      <w:r>
        <w:t>Placed beside the bowl and bottle, the map becomes another sort of container. It holds a planned journey in a surface that can be closed, carried, and reopened. Its capacity is not measured by volume. It lies in the relation between the printed expanse and the small folded shape. The case brings these different forms of carrying together without asking them to become examples of a single hidden story.</w:t>
      </w:r>
    </w:p>
    <w:p w14:paraId="2850557F">
      <w:pPr>
        <w:pStyle w:val="4"/>
      </w:pPr>
      <w:bookmarkStart w:id="3" w:name="_Toc330888333"/>
      <w:r>
        <w:t>The empty bottle</w:t>
      </w:r>
      <w:bookmarkEnd w:id="3"/>
    </w:p>
    <w:p w14:paraId="09276A2C">
      <w:r>
        <w:t>The bottle is made from pale glass with a slightly uneven shoulder. A narrow line around its middle marks the place where a paper band once sat. The band itself is absent. Its former position remains visible because the surrounding glass has a different surface. The object thus preserves the outline of something no longer attached to it, while withholding whatever words or colours that missing band carried.</w:t>
      </w:r>
    </w:p>
    <w:p w14:paraId="41D95DD8">
      <w:r>
        <w:t>The bottle does not reveal what it once contained. Its shape permits several ordinary possibilities, and none is named in the display. This uncertainty is useful to the interpretation because it prevents the empty vessel from becoming an illustration of a predetermined event. The viewer can notice the relationship between a lost label and a surviving mark without being asked to accept an invented account of the contents as an observed fact.</w:t>
      </w:r>
    </w:p>
    <w:p w14:paraId="07F5F25D">
      <w:r>
        <w:t>Light makes the bottle seem less stable than the bowl. A small shift in viewing position alters the brightness of its edge and the visibility of the old band. The object remains physically still, yet its appearance changes with the visitor's movement. That modest effect connects the idea of a journey to the act of looking. Movement is present in the room even when the displayed object has stopped travelling.</w:t>
      </w:r>
    </w:p>
    <w:p w14:paraId="15590E56">
      <w:pPr>
        <w:pStyle w:val="3"/>
      </w:pPr>
      <w:bookmarkStart w:id="4" w:name="_Toc1405050648"/>
      <w:r>
        <w:t>Marks that survive handling</w:t>
      </w:r>
      <w:bookmarkEnd w:id="4"/>
    </w:p>
    <w:p w14:paraId="43A5E622">
      <w:r>
        <w:t>The next group makes repeated contact more explicit. A paper wallet opens along a softened hinge, and a square of cloth carries a repair in a different thread. Neither mark is treated as damage that must be explained away. Each gives the object a second surface of information, one produced by use rather than by its original design. The exhibition attends to those surfaces while avoiding a simple equation between wear and emotional importance.</w:t>
      </w:r>
    </w:p>
    <w:p w14:paraId="31C3ECEF">
      <w:r>
        <w:t>A heavily handled object may have been ordinary, inconvenient, or easily replaced. A nearly untouched object may have mattered greatly. Visible wear cannot settle that comparison. The cases therefore provide no scale of affection and no ranking of personal significance. They give the viewer shapes, textures, and arrangements from which to consider possible relationships. The absence of a complete owner story is a limit on the account, rather than a puzzle with one concealed answer.</w:t>
      </w:r>
    </w:p>
    <w:p w14:paraId="6934528F">
      <w:r>
        <w:t>The room also separates traces that belong to the object from effects created by its presentation. A shadow cast by a support is part of the current display. A crease in paper belongs to the imagined history of handling. The distinction can become easy to overlook when both appear as dark lines. By leaving the supports visible at the edges, the exhibition permits the display to be noticed as a present arrangement with its own contribution to meaning.</w:t>
      </w:r>
    </w:p>
    <w:p w14:paraId="757AB4EB">
      <w:pPr>
        <w:pStyle w:val="4"/>
      </w:pPr>
      <w:bookmarkStart w:id="5" w:name="_Toc956058524"/>
      <w:r>
        <w:t>The ticket wallet</w:t>
      </w:r>
      <w:bookmarkEnd w:id="5"/>
    </w:p>
    <w:p w14:paraId="601C0E27">
      <w:r>
        <w:t>The ticket wallet contains no ticket. Its two inner pockets have slightly different widths, and the lower edge of one pocket has been pushed outward. The empty spaces preserve the expectation of flat objects that could be inserted and removed. A visitor can recognize this action from the wallet's construction even without knowing a particular transport system. Its relationship to movement is carried by an accommodation for something else.</w:t>
      </w:r>
    </w:p>
    <w:p w14:paraId="449CF5E9">
      <w:r>
        <w:t>An unprinted paper strip rests nearby rather than inside the wallet. Bringing the two together would make a more immediately complete scene, but keeping them separate allows their relationship to remain a proposal. The strip fits the scale of the pocket without being identified as its missing contents. The display makes a connection available and also makes the small gap in that connection visible.</w:t>
      </w:r>
    </w:p>
    <w:p w14:paraId="0997DBC5">
      <w:pPr>
        <w:pStyle w:val="4"/>
      </w:pPr>
      <w:bookmarkStart w:id="6" w:name="_Toc1002966014"/>
      <w:r>
        <w:t>The stitched cloth</w:t>
      </w:r>
      <w:bookmarkEnd w:id="6"/>
    </w:p>
    <w:p w14:paraId="1C1379D5">
      <w:r>
        <w:t>The cloth has a repaired opening near one corner. The new thread is darker than the surrounding weave, so the repair remains easy to see. Its stitches do not restore the appearance of an unbroken surface. They create a pattern that crosses the opening and changes the movement of the fabric around it. The repair is therefore both a response to a break and a new feature of the object.</w:t>
      </w:r>
    </w:p>
    <w:p w14:paraId="789173EE">
      <w:r>
        <w:t>The cloth is shown with a slight fold that leaves the repaired area supported rather than stretched. This position draws attention to the altered surface without presenting it as a test of strength. No claim is made about how long the repair lasted. The visible stitches support an interpretation of continued use, but their presence alone does not establish either the skill of a maker or the circumstances that made repair necessary.</w:t>
      </w:r>
    </w:p>
    <w:p w14:paraId="072D95F2">
      <w:pPr>
        <w:pStyle w:val="3"/>
      </w:pPr>
      <w:bookmarkStart w:id="7" w:name="_Toc1250651995"/>
      <w:r>
        <w:t>Objects in company</w:t>
      </w:r>
      <w:bookmarkEnd w:id="7"/>
    </w:p>
    <w:p w14:paraId="21C14A12">
      <w:r>
        <w:t>The table gathers the exhibition's twelve imagined objects in their display order. It records material and visible traces so that comparisons can be made across the group. A short description can preserve a feature while leaving out the changing light, distance, and scale that accompany seeing it in a room. The table therefore offers another reading of the exhibition, with a different kind of attention and a different set of omissions.</w:t>
      </w:r>
    </w:p>
    <w:p w14:paraId="163FD1B4">
      <w:r>
        <w:t>Objects that share a material do not necessarily share a role. The map and ticket wallet are both paper, but one offers an incomplete field while the other offers empty pockets. The bottle and bead are both glass, but one defines a hollow interior and the other concentrates light in a small solid form. These relationships become easier to compare in the repeated columns without replacing the longer descriptions around them.</w:t>
      </w:r>
    </w:p>
    <w:tbl>
      <w:tblPr>
        <w:tblStyle w:val="34"/>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907"/>
        <w:gridCol w:w="1644"/>
        <w:gridCol w:w="1644"/>
        <w:gridCol w:w="5443"/>
      </w:tblGrid>
      <w:tr w14:paraId="5D55026F">
        <w:trPr>
          <w:cantSplit/>
          <w:tblHeader/>
          <w:jc w:val="center"/>
        </w:trPr>
        <w:tc>
          <w:tcPr>
            <w:tcW w:w="907" w:type="dxa"/>
            <w:shd w:val="clear" w:color="auto" w:fill="333333"/>
            <w:tcMar>
              <w:top w:w="100" w:type="dxa"/>
              <w:left w:w="100" w:type="dxa"/>
              <w:bottom w:w="100" w:type="dxa"/>
              <w:right w:w="100" w:type="dxa"/>
            </w:tcMar>
            <w:vAlign w:val="center"/>
          </w:tcPr>
          <w:p w14:paraId="7AC86BC4">
            <w:pPr>
              <w:spacing w:before="40" w:after="40" w:line="264" w:lineRule="auto"/>
              <w:jc w:val="center"/>
            </w:pPr>
            <w:r>
              <w:rPr>
                <w:b/>
                <w:color w:val="FFFFFF"/>
                <w:sz w:val="18"/>
                <w:szCs w:val="18"/>
              </w:rPr>
              <w:t>Display</w:t>
            </w:r>
          </w:p>
        </w:tc>
        <w:tc>
          <w:tcPr>
            <w:tcW w:w="1644" w:type="dxa"/>
            <w:shd w:val="clear" w:color="auto" w:fill="333333"/>
            <w:tcMar>
              <w:top w:w="100" w:type="dxa"/>
              <w:left w:w="100" w:type="dxa"/>
              <w:bottom w:w="100" w:type="dxa"/>
              <w:right w:w="100" w:type="dxa"/>
            </w:tcMar>
            <w:vAlign w:val="center"/>
          </w:tcPr>
          <w:p w14:paraId="2CF6A6B4">
            <w:pPr>
              <w:spacing w:before="40" w:after="40" w:line="264" w:lineRule="auto"/>
              <w:jc w:val="left"/>
            </w:pPr>
            <w:r>
              <w:rPr>
                <w:b/>
                <w:color w:val="FFFFFF"/>
                <w:sz w:val="20"/>
              </w:rPr>
              <w:t>Object</w:t>
            </w:r>
          </w:p>
        </w:tc>
        <w:tc>
          <w:tcPr>
            <w:tcW w:w="1644" w:type="dxa"/>
            <w:shd w:val="clear" w:color="auto" w:fill="333333"/>
            <w:tcMar>
              <w:top w:w="100" w:type="dxa"/>
              <w:left w:w="100" w:type="dxa"/>
              <w:bottom w:w="100" w:type="dxa"/>
              <w:right w:w="100" w:type="dxa"/>
            </w:tcMar>
            <w:vAlign w:val="center"/>
          </w:tcPr>
          <w:p w14:paraId="6B513E21">
            <w:pPr>
              <w:spacing w:before="40" w:after="40" w:line="264" w:lineRule="auto"/>
              <w:jc w:val="left"/>
            </w:pPr>
            <w:r>
              <w:rPr>
                <w:b/>
                <w:color w:val="FFFFFF"/>
                <w:sz w:val="20"/>
              </w:rPr>
              <w:t>Material</w:t>
            </w:r>
          </w:p>
        </w:tc>
        <w:tc>
          <w:tcPr>
            <w:tcW w:w="5443" w:type="dxa"/>
            <w:shd w:val="clear" w:color="auto" w:fill="333333"/>
            <w:tcMar>
              <w:top w:w="100" w:type="dxa"/>
              <w:left w:w="100" w:type="dxa"/>
              <w:bottom w:w="100" w:type="dxa"/>
              <w:right w:w="100" w:type="dxa"/>
            </w:tcMar>
            <w:vAlign w:val="center"/>
          </w:tcPr>
          <w:p w14:paraId="40934542">
            <w:pPr>
              <w:spacing w:before="40" w:after="40" w:line="264" w:lineRule="auto"/>
              <w:jc w:val="left"/>
            </w:pPr>
            <w:r>
              <w:rPr>
                <w:b/>
                <w:color w:val="FFFFFF"/>
                <w:sz w:val="20"/>
              </w:rPr>
              <w:t>Visible trace and display relationship</w:t>
            </w:r>
          </w:p>
        </w:tc>
      </w:tr>
      <w:tr w14:paraId="5A549686">
        <w:trPr>
          <w:cantSplit/>
          <w:jc w:val="center"/>
        </w:trPr>
        <w:tc>
          <w:tcPr>
            <w:tcW w:w="907" w:type="dxa"/>
            <w:shd w:val="clear" w:color="auto" w:fill="FFFFFF"/>
            <w:tcMar>
              <w:top w:w="100" w:type="dxa"/>
              <w:left w:w="100" w:type="dxa"/>
              <w:bottom w:w="100" w:type="dxa"/>
              <w:right w:w="100" w:type="dxa"/>
            </w:tcMar>
            <w:vAlign w:val="center"/>
          </w:tcPr>
          <w:p w14:paraId="34C50ED9">
            <w:pPr>
              <w:spacing w:before="40" w:after="40" w:line="264" w:lineRule="auto"/>
              <w:jc w:val="center"/>
            </w:pPr>
            <w:r>
              <w:rPr>
                <w:b w:val="0"/>
                <w:color w:val="000000"/>
                <w:sz w:val="20"/>
              </w:rPr>
              <w:t>01</w:t>
            </w:r>
          </w:p>
        </w:tc>
        <w:tc>
          <w:tcPr>
            <w:tcW w:w="1644" w:type="dxa"/>
            <w:shd w:val="clear" w:color="auto" w:fill="FFFFFF"/>
            <w:tcMar>
              <w:top w:w="100" w:type="dxa"/>
              <w:left w:w="100" w:type="dxa"/>
              <w:bottom w:w="100" w:type="dxa"/>
              <w:right w:w="100" w:type="dxa"/>
            </w:tcMar>
            <w:vAlign w:val="center"/>
          </w:tcPr>
          <w:p w14:paraId="258B7ECB">
            <w:pPr>
              <w:spacing w:before="40" w:after="40" w:line="264" w:lineRule="auto"/>
              <w:jc w:val="left"/>
            </w:pPr>
            <w:r>
              <w:rPr>
                <w:b w:val="0"/>
                <w:color w:val="000000"/>
                <w:sz w:val="20"/>
              </w:rPr>
              <w:t>Shallow bowl</w:t>
            </w:r>
          </w:p>
        </w:tc>
        <w:tc>
          <w:tcPr>
            <w:tcW w:w="1644" w:type="dxa"/>
            <w:shd w:val="clear" w:color="auto" w:fill="FFFFFF"/>
            <w:tcMar>
              <w:top w:w="100" w:type="dxa"/>
              <w:left w:w="100" w:type="dxa"/>
              <w:bottom w:w="100" w:type="dxa"/>
              <w:right w:w="100" w:type="dxa"/>
            </w:tcMar>
            <w:vAlign w:val="center"/>
          </w:tcPr>
          <w:p w14:paraId="5690E454">
            <w:pPr>
              <w:spacing w:before="40" w:after="40" w:line="264" w:lineRule="auto"/>
              <w:jc w:val="left"/>
            </w:pPr>
            <w:r>
              <w:rPr>
                <w:b w:val="0"/>
                <w:color w:val="000000"/>
                <w:sz w:val="20"/>
              </w:rPr>
              <w:t>Glazed clay</w:t>
            </w:r>
          </w:p>
        </w:tc>
        <w:tc>
          <w:tcPr>
            <w:tcW w:w="5443" w:type="dxa"/>
            <w:shd w:val="clear" w:color="auto" w:fill="FFFFFF"/>
            <w:tcMar>
              <w:top w:w="100" w:type="dxa"/>
              <w:left w:w="100" w:type="dxa"/>
              <w:bottom w:w="100" w:type="dxa"/>
              <w:right w:w="100" w:type="dxa"/>
            </w:tcMar>
            <w:vAlign w:val="center"/>
          </w:tcPr>
          <w:p w14:paraId="4FFE0B28">
            <w:pPr>
              <w:spacing w:before="40" w:after="40" w:line="264" w:lineRule="auto"/>
              <w:jc w:val="left"/>
            </w:pPr>
            <w:r>
              <w:rPr>
                <w:b w:val="0"/>
                <w:color w:val="000000"/>
                <w:sz w:val="20"/>
              </w:rPr>
              <w:t>A rubbed rim sits near the front of the case, making a familiar holding shape appear almost within reach.</w:t>
            </w:r>
          </w:p>
        </w:tc>
      </w:tr>
      <w:tr w14:paraId="6FE0D76E">
        <w:trPr>
          <w:cantSplit/>
          <w:jc w:val="center"/>
        </w:trPr>
        <w:tc>
          <w:tcPr>
            <w:tcW w:w="907" w:type="dxa"/>
            <w:shd w:val="clear" w:color="auto" w:fill="F5F5F5"/>
            <w:tcMar>
              <w:top w:w="100" w:type="dxa"/>
              <w:left w:w="100" w:type="dxa"/>
              <w:bottom w:w="100" w:type="dxa"/>
              <w:right w:w="100" w:type="dxa"/>
            </w:tcMar>
            <w:vAlign w:val="center"/>
          </w:tcPr>
          <w:p w14:paraId="30C88BF6">
            <w:pPr>
              <w:spacing w:before="40" w:after="40" w:line="264" w:lineRule="auto"/>
              <w:jc w:val="center"/>
            </w:pPr>
            <w:r>
              <w:rPr>
                <w:b w:val="0"/>
                <w:color w:val="000000"/>
                <w:sz w:val="20"/>
              </w:rPr>
              <w:t>02</w:t>
            </w:r>
          </w:p>
        </w:tc>
        <w:tc>
          <w:tcPr>
            <w:tcW w:w="1644" w:type="dxa"/>
            <w:shd w:val="clear" w:color="auto" w:fill="F5F5F5"/>
            <w:tcMar>
              <w:top w:w="100" w:type="dxa"/>
              <w:left w:w="100" w:type="dxa"/>
              <w:bottom w:w="100" w:type="dxa"/>
              <w:right w:w="100" w:type="dxa"/>
            </w:tcMar>
            <w:vAlign w:val="center"/>
          </w:tcPr>
          <w:p w14:paraId="5F517C43">
            <w:pPr>
              <w:spacing w:before="40" w:after="40" w:line="264" w:lineRule="auto"/>
              <w:jc w:val="left"/>
            </w:pPr>
            <w:r>
              <w:rPr>
                <w:b w:val="0"/>
                <w:color w:val="000000"/>
                <w:sz w:val="20"/>
              </w:rPr>
              <w:t>Folded map</w:t>
            </w:r>
          </w:p>
        </w:tc>
        <w:tc>
          <w:tcPr>
            <w:tcW w:w="1644" w:type="dxa"/>
            <w:shd w:val="clear" w:color="auto" w:fill="F5F5F5"/>
            <w:tcMar>
              <w:top w:w="100" w:type="dxa"/>
              <w:left w:w="100" w:type="dxa"/>
              <w:bottom w:w="100" w:type="dxa"/>
              <w:right w:w="100" w:type="dxa"/>
            </w:tcMar>
            <w:vAlign w:val="center"/>
          </w:tcPr>
          <w:p w14:paraId="116127B1">
            <w:pPr>
              <w:spacing w:before="40" w:after="40" w:line="264" w:lineRule="auto"/>
              <w:jc w:val="left"/>
            </w:pPr>
            <w:r>
              <w:rPr>
                <w:b w:val="0"/>
                <w:color w:val="000000"/>
                <w:sz w:val="20"/>
              </w:rPr>
              <w:t>Printed paper</w:t>
            </w:r>
          </w:p>
        </w:tc>
        <w:tc>
          <w:tcPr>
            <w:tcW w:w="5443" w:type="dxa"/>
            <w:shd w:val="clear" w:color="auto" w:fill="F5F5F5"/>
            <w:tcMar>
              <w:top w:w="100" w:type="dxa"/>
              <w:left w:w="100" w:type="dxa"/>
              <w:bottom w:w="100" w:type="dxa"/>
              <w:right w:w="100" w:type="dxa"/>
            </w:tcMar>
            <w:vAlign w:val="center"/>
          </w:tcPr>
          <w:p w14:paraId="794D40B1">
            <w:pPr>
              <w:spacing w:before="40" w:after="40" w:line="264" w:lineRule="auto"/>
              <w:jc w:val="left"/>
            </w:pPr>
            <w:r>
              <w:rPr>
                <w:b w:val="0"/>
                <w:color w:val="000000"/>
                <w:sz w:val="20"/>
              </w:rPr>
              <w:t>A darker fold interrupts the printed field and suggests repeated opening without establishing a particular route.</w:t>
            </w:r>
          </w:p>
        </w:tc>
      </w:tr>
      <w:tr w14:paraId="70B0E2CC">
        <w:trPr>
          <w:cantSplit/>
          <w:jc w:val="center"/>
        </w:trPr>
        <w:tc>
          <w:tcPr>
            <w:tcW w:w="907" w:type="dxa"/>
            <w:shd w:val="clear" w:color="auto" w:fill="FFFFFF"/>
            <w:tcMar>
              <w:top w:w="100" w:type="dxa"/>
              <w:left w:w="100" w:type="dxa"/>
              <w:bottom w:w="100" w:type="dxa"/>
              <w:right w:w="100" w:type="dxa"/>
            </w:tcMar>
            <w:vAlign w:val="center"/>
          </w:tcPr>
          <w:p w14:paraId="413AD838">
            <w:pPr>
              <w:spacing w:before="40" w:after="40" w:line="264" w:lineRule="auto"/>
              <w:jc w:val="center"/>
            </w:pPr>
            <w:r>
              <w:rPr>
                <w:b w:val="0"/>
                <w:color w:val="000000"/>
                <w:sz w:val="20"/>
              </w:rPr>
              <w:t>03</w:t>
            </w:r>
          </w:p>
        </w:tc>
        <w:tc>
          <w:tcPr>
            <w:tcW w:w="1644" w:type="dxa"/>
            <w:shd w:val="clear" w:color="auto" w:fill="FFFFFF"/>
            <w:tcMar>
              <w:top w:w="100" w:type="dxa"/>
              <w:left w:w="100" w:type="dxa"/>
              <w:bottom w:w="100" w:type="dxa"/>
              <w:right w:w="100" w:type="dxa"/>
            </w:tcMar>
            <w:vAlign w:val="center"/>
          </w:tcPr>
          <w:p w14:paraId="0E6A2C84">
            <w:pPr>
              <w:spacing w:before="40" w:after="40" w:line="264" w:lineRule="auto"/>
              <w:jc w:val="left"/>
            </w:pPr>
            <w:r>
              <w:rPr>
                <w:b w:val="0"/>
                <w:color w:val="000000"/>
                <w:sz w:val="20"/>
              </w:rPr>
              <w:t>Empty bottle</w:t>
            </w:r>
          </w:p>
        </w:tc>
        <w:tc>
          <w:tcPr>
            <w:tcW w:w="1644" w:type="dxa"/>
            <w:shd w:val="clear" w:color="auto" w:fill="FFFFFF"/>
            <w:tcMar>
              <w:top w:w="100" w:type="dxa"/>
              <w:left w:w="100" w:type="dxa"/>
              <w:bottom w:w="100" w:type="dxa"/>
              <w:right w:w="100" w:type="dxa"/>
            </w:tcMar>
            <w:vAlign w:val="center"/>
          </w:tcPr>
          <w:p w14:paraId="7A0FA1BE">
            <w:pPr>
              <w:spacing w:before="40" w:after="40" w:line="264" w:lineRule="auto"/>
              <w:jc w:val="left"/>
            </w:pPr>
            <w:r>
              <w:rPr>
                <w:b w:val="0"/>
                <w:color w:val="000000"/>
                <w:sz w:val="20"/>
              </w:rPr>
              <w:t>Pale glass</w:t>
            </w:r>
          </w:p>
        </w:tc>
        <w:tc>
          <w:tcPr>
            <w:tcW w:w="5443" w:type="dxa"/>
            <w:shd w:val="clear" w:color="auto" w:fill="FFFFFF"/>
            <w:tcMar>
              <w:top w:w="100" w:type="dxa"/>
              <w:left w:w="100" w:type="dxa"/>
              <w:bottom w:w="100" w:type="dxa"/>
              <w:right w:w="100" w:type="dxa"/>
            </w:tcMar>
            <w:vAlign w:val="center"/>
          </w:tcPr>
          <w:p w14:paraId="202A28D2">
            <w:pPr>
              <w:spacing w:before="40" w:after="40" w:line="264" w:lineRule="auto"/>
              <w:jc w:val="left"/>
            </w:pPr>
            <w:r>
              <w:rPr>
                <w:b w:val="0"/>
                <w:color w:val="000000"/>
                <w:sz w:val="20"/>
              </w:rPr>
              <w:t>A clear band marks the former position of a label; changing light makes that absent addition visible.</w:t>
            </w:r>
          </w:p>
        </w:tc>
      </w:tr>
      <w:tr w14:paraId="65909776">
        <w:trPr>
          <w:cantSplit/>
          <w:jc w:val="center"/>
        </w:trPr>
        <w:tc>
          <w:tcPr>
            <w:tcW w:w="907" w:type="dxa"/>
            <w:shd w:val="clear" w:color="auto" w:fill="F5F5F5"/>
            <w:tcMar>
              <w:top w:w="100" w:type="dxa"/>
              <w:left w:w="100" w:type="dxa"/>
              <w:bottom w:w="100" w:type="dxa"/>
              <w:right w:w="100" w:type="dxa"/>
            </w:tcMar>
            <w:vAlign w:val="center"/>
          </w:tcPr>
          <w:p w14:paraId="605F6F51">
            <w:pPr>
              <w:spacing w:before="40" w:after="40" w:line="264" w:lineRule="auto"/>
              <w:jc w:val="center"/>
            </w:pPr>
            <w:r>
              <w:rPr>
                <w:b w:val="0"/>
                <w:color w:val="000000"/>
                <w:sz w:val="20"/>
              </w:rPr>
              <w:t>04</w:t>
            </w:r>
          </w:p>
        </w:tc>
        <w:tc>
          <w:tcPr>
            <w:tcW w:w="1644" w:type="dxa"/>
            <w:shd w:val="clear" w:color="auto" w:fill="F5F5F5"/>
            <w:tcMar>
              <w:top w:w="100" w:type="dxa"/>
              <w:left w:w="100" w:type="dxa"/>
              <w:bottom w:w="100" w:type="dxa"/>
              <w:right w:w="100" w:type="dxa"/>
            </w:tcMar>
            <w:vAlign w:val="center"/>
          </w:tcPr>
          <w:p w14:paraId="5E583CBF">
            <w:pPr>
              <w:spacing w:before="40" w:after="40" w:line="264" w:lineRule="auto"/>
              <w:jc w:val="left"/>
            </w:pPr>
            <w:r>
              <w:rPr>
                <w:b w:val="0"/>
                <w:color w:val="000000"/>
                <w:sz w:val="20"/>
              </w:rPr>
              <w:t>Ticket wallet</w:t>
            </w:r>
          </w:p>
        </w:tc>
        <w:tc>
          <w:tcPr>
            <w:tcW w:w="1644" w:type="dxa"/>
            <w:shd w:val="clear" w:color="auto" w:fill="F5F5F5"/>
            <w:tcMar>
              <w:top w:w="100" w:type="dxa"/>
              <w:left w:w="100" w:type="dxa"/>
              <w:bottom w:w="100" w:type="dxa"/>
              <w:right w:w="100" w:type="dxa"/>
            </w:tcMar>
            <w:vAlign w:val="center"/>
          </w:tcPr>
          <w:p w14:paraId="5CBAD6C4">
            <w:pPr>
              <w:spacing w:before="40" w:after="40" w:line="264" w:lineRule="auto"/>
              <w:jc w:val="left"/>
            </w:pPr>
            <w:r>
              <w:rPr>
                <w:b w:val="0"/>
                <w:color w:val="000000"/>
                <w:sz w:val="20"/>
              </w:rPr>
              <w:t>Folded paper</w:t>
            </w:r>
          </w:p>
        </w:tc>
        <w:tc>
          <w:tcPr>
            <w:tcW w:w="5443" w:type="dxa"/>
            <w:shd w:val="clear" w:color="auto" w:fill="F5F5F5"/>
            <w:tcMar>
              <w:top w:w="100" w:type="dxa"/>
              <w:left w:w="100" w:type="dxa"/>
              <w:bottom w:w="100" w:type="dxa"/>
              <w:right w:w="100" w:type="dxa"/>
            </w:tcMar>
            <w:vAlign w:val="center"/>
          </w:tcPr>
          <w:p w14:paraId="4C469393">
            <w:pPr>
              <w:spacing w:before="40" w:after="40" w:line="264" w:lineRule="auto"/>
              <w:jc w:val="left"/>
            </w:pPr>
            <w:r>
              <w:rPr>
                <w:b w:val="0"/>
                <w:color w:val="000000"/>
                <w:sz w:val="20"/>
              </w:rPr>
              <w:t>Softened pockets and a pushed lower edge preserve the shape of repeated insertion and removal.</w:t>
            </w:r>
          </w:p>
        </w:tc>
      </w:tr>
      <w:tr w14:paraId="328A12C0">
        <w:trPr>
          <w:cantSplit/>
          <w:jc w:val="center"/>
        </w:trPr>
        <w:tc>
          <w:tcPr>
            <w:tcW w:w="907" w:type="dxa"/>
            <w:shd w:val="clear" w:color="auto" w:fill="FFFFFF"/>
            <w:tcMar>
              <w:top w:w="100" w:type="dxa"/>
              <w:left w:w="100" w:type="dxa"/>
              <w:bottom w:w="100" w:type="dxa"/>
              <w:right w:w="100" w:type="dxa"/>
            </w:tcMar>
            <w:vAlign w:val="center"/>
          </w:tcPr>
          <w:p w14:paraId="281CDA66">
            <w:pPr>
              <w:spacing w:before="40" w:after="40" w:line="264" w:lineRule="auto"/>
              <w:jc w:val="center"/>
            </w:pPr>
            <w:r>
              <w:rPr>
                <w:b w:val="0"/>
                <w:color w:val="000000"/>
                <w:sz w:val="20"/>
              </w:rPr>
              <w:t>05</w:t>
            </w:r>
          </w:p>
        </w:tc>
        <w:tc>
          <w:tcPr>
            <w:tcW w:w="1644" w:type="dxa"/>
            <w:shd w:val="clear" w:color="auto" w:fill="FFFFFF"/>
            <w:tcMar>
              <w:top w:w="100" w:type="dxa"/>
              <w:left w:w="100" w:type="dxa"/>
              <w:bottom w:w="100" w:type="dxa"/>
              <w:right w:w="100" w:type="dxa"/>
            </w:tcMar>
            <w:vAlign w:val="center"/>
          </w:tcPr>
          <w:p w14:paraId="5D607D27">
            <w:pPr>
              <w:spacing w:before="40" w:after="40" w:line="264" w:lineRule="auto"/>
              <w:jc w:val="left"/>
            </w:pPr>
            <w:r>
              <w:rPr>
                <w:b w:val="0"/>
                <w:color w:val="000000"/>
                <w:sz w:val="20"/>
              </w:rPr>
              <w:t>Stitched cloth</w:t>
            </w:r>
          </w:p>
        </w:tc>
        <w:tc>
          <w:tcPr>
            <w:tcW w:w="1644" w:type="dxa"/>
            <w:shd w:val="clear" w:color="auto" w:fill="FFFFFF"/>
            <w:tcMar>
              <w:top w:w="100" w:type="dxa"/>
              <w:left w:w="100" w:type="dxa"/>
              <w:bottom w:w="100" w:type="dxa"/>
              <w:right w:w="100" w:type="dxa"/>
            </w:tcMar>
            <w:vAlign w:val="center"/>
          </w:tcPr>
          <w:p w14:paraId="2C39C3CA">
            <w:pPr>
              <w:spacing w:before="40" w:after="40" w:line="264" w:lineRule="auto"/>
              <w:jc w:val="left"/>
            </w:pPr>
            <w:r>
              <w:rPr>
                <w:b w:val="0"/>
                <w:color w:val="000000"/>
                <w:sz w:val="20"/>
              </w:rPr>
              <w:t>Woven cotton</w:t>
            </w:r>
          </w:p>
        </w:tc>
        <w:tc>
          <w:tcPr>
            <w:tcW w:w="5443" w:type="dxa"/>
            <w:shd w:val="clear" w:color="auto" w:fill="FFFFFF"/>
            <w:tcMar>
              <w:top w:w="100" w:type="dxa"/>
              <w:left w:w="100" w:type="dxa"/>
              <w:bottom w:w="100" w:type="dxa"/>
              <w:right w:w="100" w:type="dxa"/>
            </w:tcMar>
            <w:vAlign w:val="center"/>
          </w:tcPr>
          <w:p w14:paraId="40592281">
            <w:pPr>
              <w:spacing w:before="40" w:after="40" w:line="264" w:lineRule="auto"/>
              <w:jc w:val="left"/>
            </w:pPr>
            <w:r>
              <w:rPr>
                <w:b w:val="0"/>
                <w:color w:val="000000"/>
                <w:sz w:val="20"/>
              </w:rPr>
              <w:t>Darker stitches cross an opening, adding a visible pattern rather than concealing the repair.</w:t>
            </w:r>
          </w:p>
        </w:tc>
      </w:tr>
      <w:tr w14:paraId="4BADA170">
        <w:trPr>
          <w:cantSplit/>
          <w:jc w:val="center"/>
        </w:trPr>
        <w:tc>
          <w:tcPr>
            <w:tcW w:w="907" w:type="dxa"/>
            <w:shd w:val="clear" w:color="auto" w:fill="F5F5F5"/>
            <w:tcMar>
              <w:top w:w="100" w:type="dxa"/>
              <w:left w:w="100" w:type="dxa"/>
              <w:bottom w:w="100" w:type="dxa"/>
              <w:right w:w="100" w:type="dxa"/>
            </w:tcMar>
            <w:vAlign w:val="center"/>
          </w:tcPr>
          <w:p w14:paraId="5C4EBE86">
            <w:pPr>
              <w:spacing w:before="40" w:after="40" w:line="264" w:lineRule="auto"/>
              <w:jc w:val="center"/>
            </w:pPr>
            <w:r>
              <w:rPr>
                <w:b w:val="0"/>
                <w:color w:val="000000"/>
                <w:sz w:val="20"/>
              </w:rPr>
              <w:t>06</w:t>
            </w:r>
          </w:p>
        </w:tc>
        <w:tc>
          <w:tcPr>
            <w:tcW w:w="1644" w:type="dxa"/>
            <w:shd w:val="clear" w:color="auto" w:fill="F5F5F5"/>
            <w:tcMar>
              <w:top w:w="100" w:type="dxa"/>
              <w:left w:w="100" w:type="dxa"/>
              <w:bottom w:w="100" w:type="dxa"/>
              <w:right w:w="100" w:type="dxa"/>
            </w:tcMar>
            <w:vAlign w:val="center"/>
          </w:tcPr>
          <w:p w14:paraId="5663E682">
            <w:pPr>
              <w:spacing w:before="40" w:after="40" w:line="264" w:lineRule="auto"/>
              <w:jc w:val="left"/>
            </w:pPr>
            <w:r>
              <w:rPr>
                <w:b w:val="0"/>
                <w:color w:val="000000"/>
                <w:sz w:val="20"/>
              </w:rPr>
              <w:t>Wooden spool</w:t>
            </w:r>
          </w:p>
        </w:tc>
        <w:tc>
          <w:tcPr>
            <w:tcW w:w="1644" w:type="dxa"/>
            <w:shd w:val="clear" w:color="auto" w:fill="F5F5F5"/>
            <w:tcMar>
              <w:top w:w="100" w:type="dxa"/>
              <w:left w:w="100" w:type="dxa"/>
              <w:bottom w:w="100" w:type="dxa"/>
              <w:right w:w="100" w:type="dxa"/>
            </w:tcMar>
            <w:vAlign w:val="center"/>
          </w:tcPr>
          <w:p w14:paraId="6C4C8C33">
            <w:pPr>
              <w:spacing w:before="40" w:after="40" w:line="264" w:lineRule="auto"/>
              <w:jc w:val="left"/>
            </w:pPr>
            <w:r>
              <w:rPr>
                <w:b w:val="0"/>
                <w:color w:val="000000"/>
                <w:sz w:val="20"/>
              </w:rPr>
              <w:t>Unpainted wood</w:t>
            </w:r>
          </w:p>
        </w:tc>
        <w:tc>
          <w:tcPr>
            <w:tcW w:w="5443" w:type="dxa"/>
            <w:shd w:val="clear" w:color="auto" w:fill="F5F5F5"/>
            <w:tcMar>
              <w:top w:w="100" w:type="dxa"/>
              <w:left w:w="100" w:type="dxa"/>
              <w:bottom w:w="100" w:type="dxa"/>
              <w:right w:w="100" w:type="dxa"/>
            </w:tcMar>
            <w:vAlign w:val="center"/>
          </w:tcPr>
          <w:p w14:paraId="4B7C9054">
            <w:pPr>
              <w:spacing w:before="40" w:after="40" w:line="264" w:lineRule="auto"/>
              <w:jc w:val="left"/>
            </w:pPr>
            <w:r>
              <w:rPr>
                <w:b w:val="0"/>
                <w:color w:val="000000"/>
                <w:sz w:val="20"/>
              </w:rPr>
              <w:t>A narrow groove remains around the centre, although the thread that formed it is no longer present.</w:t>
            </w:r>
          </w:p>
        </w:tc>
      </w:tr>
      <w:tr w14:paraId="5BA43A83">
        <w:trPr>
          <w:cantSplit/>
          <w:jc w:val="center"/>
        </w:trPr>
        <w:tc>
          <w:tcPr>
            <w:tcW w:w="907" w:type="dxa"/>
            <w:shd w:val="clear" w:color="auto" w:fill="FFFFFF"/>
            <w:tcMar>
              <w:top w:w="100" w:type="dxa"/>
              <w:left w:w="100" w:type="dxa"/>
              <w:bottom w:w="100" w:type="dxa"/>
              <w:right w:w="100" w:type="dxa"/>
            </w:tcMar>
            <w:vAlign w:val="center"/>
          </w:tcPr>
          <w:p w14:paraId="521124FC">
            <w:pPr>
              <w:spacing w:before="40" w:after="40" w:line="264" w:lineRule="auto"/>
              <w:jc w:val="center"/>
            </w:pPr>
            <w:r>
              <w:rPr>
                <w:b w:val="0"/>
                <w:color w:val="000000"/>
                <w:sz w:val="20"/>
              </w:rPr>
              <w:t>07</w:t>
            </w:r>
          </w:p>
        </w:tc>
        <w:tc>
          <w:tcPr>
            <w:tcW w:w="1644" w:type="dxa"/>
            <w:shd w:val="clear" w:color="auto" w:fill="FFFFFF"/>
            <w:tcMar>
              <w:top w:w="100" w:type="dxa"/>
              <w:left w:w="100" w:type="dxa"/>
              <w:bottom w:w="100" w:type="dxa"/>
              <w:right w:w="100" w:type="dxa"/>
            </w:tcMar>
            <w:vAlign w:val="center"/>
          </w:tcPr>
          <w:p w14:paraId="4AB3A7A2">
            <w:pPr>
              <w:spacing w:before="40" w:after="40" w:line="264" w:lineRule="auto"/>
              <w:jc w:val="left"/>
            </w:pPr>
            <w:r>
              <w:rPr>
                <w:b w:val="0"/>
                <w:color w:val="000000"/>
                <w:sz w:val="20"/>
              </w:rPr>
              <w:t>Key tag</w:t>
            </w:r>
          </w:p>
        </w:tc>
        <w:tc>
          <w:tcPr>
            <w:tcW w:w="1644" w:type="dxa"/>
            <w:shd w:val="clear" w:color="auto" w:fill="FFFFFF"/>
            <w:tcMar>
              <w:top w:w="100" w:type="dxa"/>
              <w:left w:w="100" w:type="dxa"/>
              <w:bottom w:w="100" w:type="dxa"/>
              <w:right w:w="100" w:type="dxa"/>
            </w:tcMar>
            <w:vAlign w:val="center"/>
          </w:tcPr>
          <w:p w14:paraId="16C4D134">
            <w:pPr>
              <w:spacing w:before="40" w:after="40" w:line="264" w:lineRule="auto"/>
              <w:jc w:val="left"/>
            </w:pPr>
            <w:r>
              <w:rPr>
                <w:b w:val="0"/>
                <w:color w:val="000000"/>
                <w:sz w:val="20"/>
              </w:rPr>
              <w:t>Card and cord</w:t>
            </w:r>
          </w:p>
        </w:tc>
        <w:tc>
          <w:tcPr>
            <w:tcW w:w="5443" w:type="dxa"/>
            <w:shd w:val="clear" w:color="auto" w:fill="FFFFFF"/>
            <w:tcMar>
              <w:top w:w="100" w:type="dxa"/>
              <w:left w:w="100" w:type="dxa"/>
              <w:bottom w:w="100" w:type="dxa"/>
              <w:right w:w="100" w:type="dxa"/>
            </w:tcMar>
            <w:vAlign w:val="center"/>
          </w:tcPr>
          <w:p w14:paraId="652A7C21">
            <w:pPr>
              <w:spacing w:before="40" w:after="40" w:line="264" w:lineRule="auto"/>
              <w:jc w:val="left"/>
            </w:pPr>
            <w:r>
              <w:rPr>
                <w:b w:val="0"/>
                <w:color w:val="000000"/>
                <w:sz w:val="20"/>
              </w:rPr>
              <w:t>The tag has a hole worn to an oval; no key is supplied to settle its former attachment.</w:t>
            </w:r>
          </w:p>
        </w:tc>
      </w:tr>
      <w:tr w14:paraId="4CDFA62B">
        <w:trPr>
          <w:cantSplit/>
          <w:jc w:val="center"/>
        </w:trPr>
        <w:tc>
          <w:tcPr>
            <w:tcW w:w="907" w:type="dxa"/>
            <w:shd w:val="clear" w:color="auto" w:fill="F5F5F5"/>
            <w:tcMar>
              <w:top w:w="100" w:type="dxa"/>
              <w:left w:w="100" w:type="dxa"/>
              <w:bottom w:w="100" w:type="dxa"/>
              <w:right w:w="100" w:type="dxa"/>
            </w:tcMar>
            <w:vAlign w:val="center"/>
          </w:tcPr>
          <w:p w14:paraId="0BFDA88E">
            <w:pPr>
              <w:spacing w:before="40" w:after="40" w:line="264" w:lineRule="auto"/>
              <w:jc w:val="center"/>
            </w:pPr>
            <w:r>
              <w:rPr>
                <w:b w:val="0"/>
                <w:color w:val="000000"/>
                <w:sz w:val="20"/>
              </w:rPr>
              <w:t>08</w:t>
            </w:r>
          </w:p>
        </w:tc>
        <w:tc>
          <w:tcPr>
            <w:tcW w:w="1644" w:type="dxa"/>
            <w:shd w:val="clear" w:color="auto" w:fill="F5F5F5"/>
            <w:tcMar>
              <w:top w:w="100" w:type="dxa"/>
              <w:left w:w="100" w:type="dxa"/>
              <w:bottom w:w="100" w:type="dxa"/>
              <w:right w:w="100" w:type="dxa"/>
            </w:tcMar>
            <w:vAlign w:val="center"/>
          </w:tcPr>
          <w:p w14:paraId="7BDCAA43">
            <w:pPr>
              <w:spacing w:before="40" w:after="40" w:line="264" w:lineRule="auto"/>
              <w:jc w:val="left"/>
            </w:pPr>
            <w:r>
              <w:rPr>
                <w:b w:val="0"/>
                <w:color w:val="000000"/>
                <w:sz w:val="20"/>
              </w:rPr>
              <w:t>Small bead</w:t>
            </w:r>
          </w:p>
        </w:tc>
        <w:tc>
          <w:tcPr>
            <w:tcW w:w="1644" w:type="dxa"/>
            <w:shd w:val="clear" w:color="auto" w:fill="F5F5F5"/>
            <w:tcMar>
              <w:top w:w="100" w:type="dxa"/>
              <w:left w:w="100" w:type="dxa"/>
              <w:bottom w:w="100" w:type="dxa"/>
              <w:right w:w="100" w:type="dxa"/>
            </w:tcMar>
            <w:vAlign w:val="center"/>
          </w:tcPr>
          <w:p w14:paraId="74641027">
            <w:pPr>
              <w:spacing w:before="40" w:after="40" w:line="264" w:lineRule="auto"/>
              <w:jc w:val="left"/>
            </w:pPr>
            <w:r>
              <w:rPr>
                <w:b w:val="0"/>
                <w:color w:val="000000"/>
                <w:sz w:val="20"/>
              </w:rPr>
              <w:t>Clear glass</w:t>
            </w:r>
          </w:p>
        </w:tc>
        <w:tc>
          <w:tcPr>
            <w:tcW w:w="5443" w:type="dxa"/>
            <w:shd w:val="clear" w:color="auto" w:fill="F5F5F5"/>
            <w:tcMar>
              <w:top w:w="100" w:type="dxa"/>
              <w:left w:w="100" w:type="dxa"/>
              <w:bottom w:w="100" w:type="dxa"/>
              <w:right w:w="100" w:type="dxa"/>
            </w:tcMar>
            <w:vAlign w:val="center"/>
          </w:tcPr>
          <w:p w14:paraId="7C97C0E0">
            <w:pPr>
              <w:spacing w:before="40" w:after="40" w:line="264" w:lineRule="auto"/>
              <w:jc w:val="left"/>
            </w:pPr>
            <w:r>
              <w:rPr>
                <w:b w:val="0"/>
                <w:color w:val="000000"/>
                <w:sz w:val="20"/>
              </w:rPr>
              <w:t>A cloudy line crosses one side, catching light differently from the surrounding polished surface.</w:t>
            </w:r>
          </w:p>
        </w:tc>
      </w:tr>
      <w:tr w14:paraId="4CA8FEC4">
        <w:trPr>
          <w:cantSplit/>
          <w:jc w:val="center"/>
        </w:trPr>
        <w:tc>
          <w:tcPr>
            <w:tcW w:w="907" w:type="dxa"/>
            <w:shd w:val="clear" w:color="auto" w:fill="FFFFFF"/>
            <w:tcMar>
              <w:top w:w="100" w:type="dxa"/>
              <w:left w:w="100" w:type="dxa"/>
              <w:bottom w:w="100" w:type="dxa"/>
              <w:right w:w="100" w:type="dxa"/>
            </w:tcMar>
            <w:vAlign w:val="center"/>
          </w:tcPr>
          <w:p w14:paraId="0D5646E5">
            <w:pPr>
              <w:spacing w:before="40" w:after="40" w:line="264" w:lineRule="auto"/>
              <w:jc w:val="center"/>
            </w:pPr>
            <w:r>
              <w:rPr>
                <w:b w:val="0"/>
                <w:color w:val="000000"/>
                <w:sz w:val="20"/>
              </w:rPr>
              <w:t>09</w:t>
            </w:r>
          </w:p>
        </w:tc>
        <w:tc>
          <w:tcPr>
            <w:tcW w:w="1644" w:type="dxa"/>
            <w:shd w:val="clear" w:color="auto" w:fill="FFFFFF"/>
            <w:tcMar>
              <w:top w:w="100" w:type="dxa"/>
              <w:left w:w="100" w:type="dxa"/>
              <w:bottom w:w="100" w:type="dxa"/>
              <w:right w:w="100" w:type="dxa"/>
            </w:tcMar>
            <w:vAlign w:val="center"/>
          </w:tcPr>
          <w:p w14:paraId="2FD81AE8">
            <w:pPr>
              <w:spacing w:before="40" w:after="40" w:line="264" w:lineRule="auto"/>
              <w:jc w:val="left"/>
            </w:pPr>
            <w:r>
              <w:rPr>
                <w:b w:val="0"/>
                <w:color w:val="000000"/>
                <w:sz w:val="20"/>
              </w:rPr>
              <w:t>Envelope</w:t>
            </w:r>
          </w:p>
        </w:tc>
        <w:tc>
          <w:tcPr>
            <w:tcW w:w="1644" w:type="dxa"/>
            <w:shd w:val="clear" w:color="auto" w:fill="FFFFFF"/>
            <w:tcMar>
              <w:top w:w="100" w:type="dxa"/>
              <w:left w:w="100" w:type="dxa"/>
              <w:bottom w:w="100" w:type="dxa"/>
              <w:right w:w="100" w:type="dxa"/>
            </w:tcMar>
            <w:vAlign w:val="center"/>
          </w:tcPr>
          <w:p w14:paraId="4CD684AC">
            <w:pPr>
              <w:spacing w:before="40" w:after="40" w:line="264" w:lineRule="auto"/>
              <w:jc w:val="left"/>
            </w:pPr>
            <w:r>
              <w:rPr>
                <w:b w:val="0"/>
                <w:color w:val="000000"/>
                <w:sz w:val="20"/>
              </w:rPr>
              <w:t>Thin paper</w:t>
            </w:r>
          </w:p>
        </w:tc>
        <w:tc>
          <w:tcPr>
            <w:tcW w:w="5443" w:type="dxa"/>
            <w:shd w:val="clear" w:color="auto" w:fill="FFFFFF"/>
            <w:tcMar>
              <w:top w:w="100" w:type="dxa"/>
              <w:left w:w="100" w:type="dxa"/>
              <w:bottom w:w="100" w:type="dxa"/>
              <w:right w:w="100" w:type="dxa"/>
            </w:tcMar>
            <w:vAlign w:val="center"/>
          </w:tcPr>
          <w:p w14:paraId="055522F6">
            <w:pPr>
              <w:spacing w:before="40" w:after="40" w:line="264" w:lineRule="auto"/>
              <w:jc w:val="left"/>
            </w:pPr>
            <w:r>
              <w:rPr>
                <w:b w:val="0"/>
                <w:color w:val="000000"/>
                <w:sz w:val="20"/>
              </w:rPr>
              <w:t>An unsealed flap holds a shallow curve; the empty interior remains partly visible through the opening.</w:t>
            </w:r>
          </w:p>
        </w:tc>
      </w:tr>
      <w:tr w14:paraId="74AF94CB">
        <w:trPr>
          <w:cantSplit/>
          <w:jc w:val="center"/>
        </w:trPr>
        <w:tc>
          <w:tcPr>
            <w:tcW w:w="907" w:type="dxa"/>
            <w:shd w:val="clear" w:color="auto" w:fill="F5F5F5"/>
            <w:tcMar>
              <w:top w:w="100" w:type="dxa"/>
              <w:left w:w="100" w:type="dxa"/>
              <w:bottom w:w="100" w:type="dxa"/>
              <w:right w:w="100" w:type="dxa"/>
            </w:tcMar>
            <w:vAlign w:val="center"/>
          </w:tcPr>
          <w:p w14:paraId="69F00B00">
            <w:pPr>
              <w:spacing w:before="40" w:after="40" w:line="264" w:lineRule="auto"/>
              <w:jc w:val="center"/>
            </w:pPr>
            <w:r>
              <w:rPr>
                <w:b w:val="0"/>
                <w:color w:val="000000"/>
                <w:sz w:val="20"/>
              </w:rPr>
              <w:t>10</w:t>
            </w:r>
          </w:p>
        </w:tc>
        <w:tc>
          <w:tcPr>
            <w:tcW w:w="1644" w:type="dxa"/>
            <w:shd w:val="clear" w:color="auto" w:fill="F5F5F5"/>
            <w:tcMar>
              <w:top w:w="100" w:type="dxa"/>
              <w:left w:w="100" w:type="dxa"/>
              <w:bottom w:w="100" w:type="dxa"/>
              <w:right w:w="100" w:type="dxa"/>
            </w:tcMar>
            <w:vAlign w:val="center"/>
          </w:tcPr>
          <w:p w14:paraId="24D75566">
            <w:pPr>
              <w:spacing w:before="40" w:after="40" w:line="264" w:lineRule="auto"/>
              <w:jc w:val="left"/>
            </w:pPr>
            <w:r>
              <w:rPr>
                <w:b w:val="0"/>
                <w:color w:val="000000"/>
                <w:sz w:val="20"/>
              </w:rPr>
              <w:t>Pocket stone</w:t>
            </w:r>
          </w:p>
        </w:tc>
        <w:tc>
          <w:tcPr>
            <w:tcW w:w="1644" w:type="dxa"/>
            <w:shd w:val="clear" w:color="auto" w:fill="F5F5F5"/>
            <w:tcMar>
              <w:top w:w="100" w:type="dxa"/>
              <w:left w:w="100" w:type="dxa"/>
              <w:bottom w:w="100" w:type="dxa"/>
              <w:right w:w="100" w:type="dxa"/>
            </w:tcMar>
            <w:vAlign w:val="center"/>
          </w:tcPr>
          <w:p w14:paraId="3AF7BE00">
            <w:pPr>
              <w:spacing w:before="40" w:after="40" w:line="264" w:lineRule="auto"/>
              <w:jc w:val="left"/>
            </w:pPr>
            <w:r>
              <w:rPr>
                <w:b w:val="0"/>
                <w:color w:val="000000"/>
                <w:sz w:val="20"/>
              </w:rPr>
              <w:t>Smooth stone</w:t>
            </w:r>
          </w:p>
        </w:tc>
        <w:tc>
          <w:tcPr>
            <w:tcW w:w="5443" w:type="dxa"/>
            <w:shd w:val="clear" w:color="auto" w:fill="F5F5F5"/>
            <w:tcMar>
              <w:top w:w="100" w:type="dxa"/>
              <w:left w:w="100" w:type="dxa"/>
              <w:bottom w:w="100" w:type="dxa"/>
              <w:right w:w="100" w:type="dxa"/>
            </w:tcMar>
            <w:vAlign w:val="center"/>
          </w:tcPr>
          <w:p w14:paraId="08B1C9DA">
            <w:pPr>
              <w:spacing w:before="40" w:after="40" w:line="264" w:lineRule="auto"/>
              <w:jc w:val="left"/>
            </w:pPr>
            <w:r>
              <w:rPr>
                <w:b w:val="0"/>
                <w:color w:val="000000"/>
                <w:sz w:val="20"/>
              </w:rPr>
              <w:t>One flat face rests on a low support, leaving the more rounded surface open to the viewer.</w:t>
            </w:r>
          </w:p>
        </w:tc>
      </w:tr>
      <w:tr w14:paraId="1606288F">
        <w:trPr>
          <w:cantSplit/>
          <w:jc w:val="center"/>
        </w:trPr>
        <w:tc>
          <w:tcPr>
            <w:tcW w:w="907" w:type="dxa"/>
            <w:shd w:val="clear" w:color="auto" w:fill="FFFFFF"/>
            <w:tcMar>
              <w:top w:w="100" w:type="dxa"/>
              <w:left w:w="100" w:type="dxa"/>
              <w:bottom w:w="100" w:type="dxa"/>
              <w:right w:w="100" w:type="dxa"/>
            </w:tcMar>
            <w:vAlign w:val="center"/>
          </w:tcPr>
          <w:p w14:paraId="465A82E6">
            <w:pPr>
              <w:spacing w:before="40" w:after="40" w:line="264" w:lineRule="auto"/>
              <w:jc w:val="center"/>
            </w:pPr>
            <w:r>
              <w:rPr>
                <w:b w:val="0"/>
                <w:color w:val="000000"/>
                <w:sz w:val="20"/>
              </w:rPr>
              <w:t>11</w:t>
            </w:r>
          </w:p>
        </w:tc>
        <w:tc>
          <w:tcPr>
            <w:tcW w:w="1644" w:type="dxa"/>
            <w:shd w:val="clear" w:color="auto" w:fill="FFFFFF"/>
            <w:tcMar>
              <w:top w:w="100" w:type="dxa"/>
              <w:left w:w="100" w:type="dxa"/>
              <w:bottom w:w="100" w:type="dxa"/>
              <w:right w:w="100" w:type="dxa"/>
            </w:tcMar>
            <w:vAlign w:val="center"/>
          </w:tcPr>
          <w:p w14:paraId="3B0A8E71">
            <w:pPr>
              <w:spacing w:before="40" w:after="40" w:line="264" w:lineRule="auto"/>
              <w:jc w:val="left"/>
            </w:pPr>
            <w:r>
              <w:rPr>
                <w:b w:val="0"/>
                <w:color w:val="000000"/>
                <w:sz w:val="20"/>
              </w:rPr>
              <w:t>Ribbon fragment</w:t>
            </w:r>
          </w:p>
        </w:tc>
        <w:tc>
          <w:tcPr>
            <w:tcW w:w="1644" w:type="dxa"/>
            <w:shd w:val="clear" w:color="auto" w:fill="FFFFFF"/>
            <w:tcMar>
              <w:top w:w="100" w:type="dxa"/>
              <w:left w:w="100" w:type="dxa"/>
              <w:bottom w:w="100" w:type="dxa"/>
              <w:right w:w="100" w:type="dxa"/>
            </w:tcMar>
            <w:vAlign w:val="center"/>
          </w:tcPr>
          <w:p w14:paraId="3D869436">
            <w:pPr>
              <w:spacing w:before="40" w:after="40" w:line="264" w:lineRule="auto"/>
              <w:jc w:val="left"/>
            </w:pPr>
            <w:r>
              <w:rPr>
                <w:b w:val="0"/>
                <w:color w:val="000000"/>
                <w:sz w:val="20"/>
              </w:rPr>
              <w:t>Woven ribbon</w:t>
            </w:r>
          </w:p>
        </w:tc>
        <w:tc>
          <w:tcPr>
            <w:tcW w:w="5443" w:type="dxa"/>
            <w:shd w:val="clear" w:color="auto" w:fill="FFFFFF"/>
            <w:tcMar>
              <w:top w:w="100" w:type="dxa"/>
              <w:left w:w="100" w:type="dxa"/>
              <w:bottom w:w="100" w:type="dxa"/>
              <w:right w:w="100" w:type="dxa"/>
            </w:tcMar>
            <w:vAlign w:val="center"/>
          </w:tcPr>
          <w:p w14:paraId="2C290382">
            <w:pPr>
              <w:spacing w:before="40" w:after="40" w:line="264" w:lineRule="auto"/>
              <w:jc w:val="left"/>
            </w:pPr>
            <w:r>
              <w:rPr>
                <w:b w:val="0"/>
                <w:color w:val="000000"/>
                <w:sz w:val="20"/>
              </w:rPr>
              <w:t>A faded section records a fold, while the cut ends leave its original length unestablished.</w:t>
            </w:r>
          </w:p>
        </w:tc>
      </w:tr>
      <w:tr w14:paraId="080815E7">
        <w:trPr>
          <w:cantSplit/>
          <w:jc w:val="center"/>
        </w:trPr>
        <w:tc>
          <w:tcPr>
            <w:tcW w:w="907" w:type="dxa"/>
            <w:shd w:val="clear" w:color="auto" w:fill="F5F5F5"/>
            <w:tcMar>
              <w:top w:w="100" w:type="dxa"/>
              <w:left w:w="100" w:type="dxa"/>
              <w:bottom w:w="100" w:type="dxa"/>
              <w:right w:w="100" w:type="dxa"/>
            </w:tcMar>
            <w:vAlign w:val="center"/>
          </w:tcPr>
          <w:p w14:paraId="2E3D7BAF">
            <w:pPr>
              <w:spacing w:before="40" w:after="40" w:line="264" w:lineRule="auto"/>
              <w:jc w:val="center"/>
            </w:pPr>
            <w:r>
              <w:rPr>
                <w:b w:val="0"/>
                <w:color w:val="000000"/>
                <w:sz w:val="20"/>
              </w:rPr>
              <w:t>12</w:t>
            </w:r>
          </w:p>
        </w:tc>
        <w:tc>
          <w:tcPr>
            <w:tcW w:w="1644" w:type="dxa"/>
            <w:shd w:val="clear" w:color="auto" w:fill="F5F5F5"/>
            <w:tcMar>
              <w:top w:w="100" w:type="dxa"/>
              <w:left w:w="100" w:type="dxa"/>
              <w:bottom w:w="100" w:type="dxa"/>
              <w:right w:w="100" w:type="dxa"/>
            </w:tcMar>
            <w:vAlign w:val="center"/>
          </w:tcPr>
          <w:p w14:paraId="705D0CB3">
            <w:pPr>
              <w:spacing w:before="40" w:after="40" w:line="264" w:lineRule="auto"/>
              <w:jc w:val="left"/>
            </w:pPr>
            <w:r>
              <w:rPr>
                <w:b w:val="0"/>
                <w:color w:val="000000"/>
                <w:sz w:val="20"/>
              </w:rPr>
              <w:t>Cardboard sleeve</w:t>
            </w:r>
          </w:p>
        </w:tc>
        <w:tc>
          <w:tcPr>
            <w:tcW w:w="1644" w:type="dxa"/>
            <w:shd w:val="clear" w:color="auto" w:fill="F5F5F5"/>
            <w:tcMar>
              <w:top w:w="100" w:type="dxa"/>
              <w:left w:w="100" w:type="dxa"/>
              <w:bottom w:w="100" w:type="dxa"/>
              <w:right w:w="100" w:type="dxa"/>
            </w:tcMar>
            <w:vAlign w:val="center"/>
          </w:tcPr>
          <w:p w14:paraId="6C92D0FF">
            <w:pPr>
              <w:spacing w:before="40" w:after="40" w:line="264" w:lineRule="auto"/>
              <w:jc w:val="left"/>
            </w:pPr>
            <w:r>
              <w:rPr>
                <w:b w:val="0"/>
                <w:color w:val="000000"/>
                <w:sz w:val="20"/>
              </w:rPr>
              <w:t>Layered card</w:t>
            </w:r>
          </w:p>
        </w:tc>
        <w:tc>
          <w:tcPr>
            <w:tcW w:w="5443" w:type="dxa"/>
            <w:shd w:val="clear" w:color="auto" w:fill="F5F5F5"/>
            <w:tcMar>
              <w:top w:w="100" w:type="dxa"/>
              <w:left w:w="100" w:type="dxa"/>
              <w:bottom w:w="100" w:type="dxa"/>
              <w:right w:w="100" w:type="dxa"/>
            </w:tcMar>
            <w:vAlign w:val="center"/>
          </w:tcPr>
          <w:p w14:paraId="25FE9D05">
            <w:pPr>
              <w:spacing w:before="40" w:after="40" w:line="264" w:lineRule="auto"/>
              <w:jc w:val="left"/>
            </w:pPr>
            <w:r>
              <w:rPr>
                <w:b w:val="0"/>
                <w:color w:val="000000"/>
                <w:sz w:val="20"/>
              </w:rPr>
              <w:t>A compressed corner and an open seam suggest repeated handling without identifying the object once protected.</w:t>
            </w:r>
          </w:p>
        </w:tc>
      </w:tr>
    </w:tbl>
    <w:p w14:paraId="19E6E775">
      <w:pPr>
        <w:spacing w:before="140"/>
      </w:pPr>
      <w:r>
        <w:t>The display numbers identify a sequence inside this imagined exhibition. They do not describe age, monetary value, or importance. A visitor can return from the table to an individual description without accepting the sequence as a history of progress. The objects remain different forms of evidence within the fiction, and the repeated format makes some of those differences clearer while simplifying others.</w:t>
      </w:r>
    </w:p>
    <w:p w14:paraId="1F5B3E41">
      <w:pPr>
        <w:pStyle w:val="3"/>
      </w:pPr>
      <w:bookmarkStart w:id="8" w:name="_Toc138143129"/>
      <w:r>
        <w:t>The space between cases</w:t>
      </w:r>
      <w:bookmarkEnd w:id="8"/>
    </w:p>
    <w:p w14:paraId="00B8A4A9">
      <w:r>
        <w:t>The gaps between cases carry part of the exhibition's meaning. A narrow interval joins the wallet and cloth closely enough for their softened edges to be compared. A wider interval separates that pair from the glass bead. The difference changes the rhythm of attention before any label is read. It can make a transition feel gradual or abrupt, even though nothing in the objects themselves dictates that rhythm.</w:t>
      </w:r>
    </w:p>
    <w:p w14:paraId="3648EFC3">
      <w:r>
        <w:t>Empty floor is easy to overlook because it contains no named exhibit. Yet it gives the visitor room to turn, wait, or return to a previous case. The exhibition's account of small journeys includes these movements without making them a prescribed route. Its sequence can be recognized from the numbering, while a person can still encounter the later objects first or spend most of the visit with one group.</w:t>
      </w:r>
    </w:p>
    <w:p w14:paraId="34A9BD4B">
      <w:r>
        <w:t>The essay likewise moves through a selected sequence. It cannot reproduce the room's simultaneous views or the sound of another visitor crossing the floor. Its paragraphs make relationships unfold one after another. Recognizing that limitation keeps the written account from pretending to be the exhibition itself. It offers a connected interpretation whose order can be followed, checked, and reconsidered.</w:t>
      </w:r>
    </w:p>
    <w:p w14:paraId="73943C34">
      <w:pPr>
        <w:pStyle w:val="4"/>
      </w:pPr>
      <w:bookmarkStart w:id="9" w:name="_Toc341746696"/>
      <w:r>
        <w:t>Light and surface</w:t>
      </w:r>
      <w:bookmarkEnd w:id="9"/>
    </w:p>
    <w:p w14:paraId="06B35A9D">
      <w:r>
        <w:t>The light is broad enough to reveal shapes while retaining small differences in surface. Paper remains visibly different from glass, and repaired thread remains distinct from the cloth around it. Reflections are not treated as evidence of a previous event. They belong to the present encounter, where an object and a viewer occupy changing positions in relation to a source of light.</w:t>
      </w:r>
    </w:p>
    <w:p w14:paraId="3591EB35">
      <w:r>
        <w:t>A reflection can temporarily hide a trace that the prose has described. That temporary loss makes the description feel less like possession of a fact and more like an invitation to look again. The line around the bottle may disappear from one angle and return from another. Its visibility varies, but the interpretation need not convert that variation into a mystery about whether the object is real.</w:t>
      </w:r>
    </w:p>
    <w:p w14:paraId="30359D95">
      <w:pPr>
        <w:pStyle w:val="4"/>
      </w:pPr>
      <w:bookmarkStart w:id="10" w:name="_Toc1365447594"/>
      <w:r>
        <w:t>A place to pause</w:t>
      </w:r>
      <w:bookmarkEnd w:id="10"/>
    </w:p>
    <w:p w14:paraId="073FC431">
      <w:r>
        <w:t>A plain bench faces the final two cases. It has no special story within the exhibition and is not assigned a display number. Its position allows the sleeve and ribbon to be seen from farther away. From that distance, their edges and proportions become more prominent than their small marks. Sitting changes the scale of the encounter without adding another object to the table.</w:t>
      </w:r>
    </w:p>
    <w:p w14:paraId="7DBD4FFB">
      <w:r>
        <w:t>The bench also makes room for an unfinished response. A visitor may find one connection persuasive and another doubtful, or may remember a different object from daily life. Such responses are not recorded as conclusions about the exhibits. The exhibition can provide a shared arrangement while leaving the relation between that arrangement and a visitor's own experience partly private.</w:t>
      </w:r>
    </w:p>
    <w:p w14:paraId="2423B72E">
      <w:pPr>
        <w:pStyle w:val="3"/>
      </w:pPr>
      <w:bookmarkStart w:id="11" w:name="_Toc1067460516"/>
      <w:r>
        <w:t>Keeping an ending open</w:t>
      </w:r>
      <w:bookmarkEnd w:id="11"/>
    </w:p>
    <w:p w14:paraId="1476C27A">
      <w:r>
        <w:t>The cardboard sleeve is the last numbered object, but it does not close the other stories. Its compressed corner could belong to many forms of handling. Its open seam makes an interior visible without revealing what was once protected. Ending with that partly open form allows the exhibition to return to the question posed by the bowl: how can an empty space retain the expectation of use?</w:t>
      </w:r>
    </w:p>
    <w:p w14:paraId="7BE1E5EB">
      <w:r>
        <w:t>Across the rooms, objects suggest repeated actions through folds, grooves, repairs, and protected surfaces. The account remains incomplete because those features cannot identify every person, purpose, or occasion involved. The exhibition's fiction gives enough detail for interpretation while preserving the difference between a visible trace and a complete biography. That difference is the subject that holds the separate displays together.</w:t>
      </w:r>
    </w:p>
    <w:p w14:paraId="3E494A4F">
      <w:r>
        <w:t>Leaving the gallery does not supply the missing contents of the wallet or the original length of the ribbon. It changes the viewer's relation to those absences. Familiar objects can appear capable of holding more questions than their ordinary use first suggests. Small Journeys ends with its objects still available to another reading, their material limits clear and their possible journeys unfinished.</w:t>
      </w:r>
    </w:p>
    <w:bookmarkEnd w:id="12"/>
    <w:sectPr>
      <w:headerReference r:id="rId5" w:type="default"/>
      <w:footerReference r:id="rId6" w:type="default"/>
      <w:pgSz w:w="11906" w:h="16838"/>
      <w:pgMar w:top="1134" w:right="1134" w:bottom="1134" w:left="1134" w:header="510" w:footer="51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B3C96">
    <w:pPr>
      <w:pStyle w:val="24"/>
      <w:jc w:val="right"/>
    </w:pPr>
    <w:r>
      <w:rPr>
        <w:sz w:val="18"/>
      </w:rPr>
      <w:t xml:space="preserve">Page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286BB">
    <w:pPr>
      <w:pStyle w:val="25"/>
    </w:pPr>
    <w:r>
      <w:rPr>
        <w:sz w:val="18"/>
      </w:rPr>
      <w:t>Small Journeys Exhibition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FD56A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140" w:line="276" w:lineRule="auto"/>
    </w:pPr>
    <w:rPr>
      <w:rFonts w:ascii="Arial" w:hAnsi="Arial" w:eastAsiaTheme="minorEastAsia" w:cstheme="minorBidi"/>
      <w:color w:val="000000"/>
      <w:sz w:val="22"/>
      <w:szCs w:val="22"/>
      <w:lang w:val="en-US" w:eastAsia="en-US" w:bidi="ar-SA"/>
    </w:rPr>
  </w:style>
  <w:style w:type="paragraph" w:styleId="3">
    <w:name w:val="heading 1"/>
    <w:basedOn w:val="1"/>
    <w:next w:val="1"/>
    <w:link w:val="140"/>
    <w:qFormat/>
    <w:uiPriority w:val="9"/>
    <w:pPr>
      <w:keepNext/>
      <w:keepLines/>
      <w:spacing w:before="260" w:after="140"/>
      <w:outlineLvl w:val="0"/>
    </w:pPr>
    <w:rPr>
      <w:rFonts w:asciiTheme="majorHAnsi" w:hAnsiTheme="majorHAnsi" w:eastAsiaTheme="majorEastAsia" w:cstheme="majorBidi"/>
      <w:b/>
      <w:bCs/>
      <w:color w:val="000000"/>
      <w:sz w:val="30"/>
      <w:szCs w:val="28"/>
    </w:rPr>
  </w:style>
  <w:style w:type="paragraph" w:styleId="4">
    <w:name w:val="heading 2"/>
    <w:basedOn w:val="1"/>
    <w:next w:val="1"/>
    <w:link w:val="141"/>
    <w:unhideWhenUsed/>
    <w:qFormat/>
    <w:uiPriority w:val="9"/>
    <w:pPr>
      <w:keepNext/>
      <w:keepLines/>
      <w:spacing w:before="260" w:after="140"/>
      <w:outlineLvl w:val="1"/>
    </w:pPr>
    <w:rPr>
      <w:rFonts w:asciiTheme="majorHAnsi" w:hAnsiTheme="majorHAnsi" w:eastAsiaTheme="majorEastAsia" w:cstheme="majorBidi"/>
      <w:b/>
      <w:bCs/>
      <w:color w:val="000000"/>
      <w:sz w:val="24"/>
      <w:szCs w:val="26"/>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000000"/>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000000"/>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00000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00000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000000"/>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000000"/>
      <w:sz w:val="20"/>
      <w:szCs w:val="20"/>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000000"/>
      <w:sz w:val="20"/>
      <w:szCs w:val="20"/>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Arial" w:hAnsi="Arial" w:eastAsiaTheme="minorEastAsia" w:cstheme="minorBidi"/>
      <w:color w:val="000000"/>
      <w:sz w:val="20"/>
      <w:szCs w:val="20"/>
      <w:lang w:val="en-US" w:eastAsia="en-US" w:bidi="ar-SA"/>
    </w:rPr>
  </w:style>
  <w:style w:type="paragraph" w:styleId="12">
    <w:name w:val="List 3"/>
    <w:basedOn w:val="1"/>
    <w:unhideWhenUsed/>
    <w:uiPriority w:val="99"/>
    <w:pPr>
      <w:ind w:left="1080" w:hanging="360"/>
      <w:contextualSpacing/>
    </w:pPr>
    <w:rPr>
      <w:rFonts w:ascii="Arial" w:hAnsi="Arial"/>
      <w:color w:val="000000"/>
    </w:rPr>
  </w:style>
  <w:style w:type="paragraph" w:styleId="13">
    <w:name w:val="List Number 2"/>
    <w:basedOn w:val="1"/>
    <w:unhideWhenUsed/>
    <w:uiPriority w:val="99"/>
    <w:pPr>
      <w:numPr>
        <w:ilvl w:val="0"/>
        <w:numId w:val="1"/>
      </w:numPr>
      <w:contextualSpacing/>
    </w:pPr>
    <w:rPr>
      <w:rFonts w:ascii="Arial" w:hAnsi="Arial"/>
      <w:color w:val="000000"/>
    </w:rPr>
  </w:style>
  <w:style w:type="paragraph" w:styleId="14">
    <w:name w:val="List Number"/>
    <w:basedOn w:val="1"/>
    <w:unhideWhenUsed/>
    <w:uiPriority w:val="99"/>
    <w:pPr>
      <w:numPr>
        <w:ilvl w:val="0"/>
        <w:numId w:val="2"/>
      </w:numPr>
      <w:contextualSpacing/>
    </w:pPr>
    <w:rPr>
      <w:rFonts w:ascii="Arial" w:hAnsi="Arial"/>
      <w:color w:val="000000"/>
    </w:rPr>
  </w:style>
  <w:style w:type="paragraph" w:styleId="15">
    <w:name w:val="caption"/>
    <w:basedOn w:val="1"/>
    <w:next w:val="1"/>
    <w:semiHidden/>
    <w:unhideWhenUsed/>
    <w:qFormat/>
    <w:uiPriority w:val="35"/>
    <w:pPr>
      <w:spacing w:line="240" w:lineRule="auto"/>
    </w:pPr>
    <w:rPr>
      <w:rFonts w:ascii="Arial" w:hAnsi="Arial"/>
      <w:b/>
      <w:bCs/>
      <w:color w:val="000000"/>
      <w:sz w:val="18"/>
      <w:szCs w:val="18"/>
    </w:rPr>
  </w:style>
  <w:style w:type="paragraph" w:styleId="16">
    <w:name w:val="List Bullet"/>
    <w:basedOn w:val="1"/>
    <w:unhideWhenUsed/>
    <w:uiPriority w:val="99"/>
    <w:pPr>
      <w:numPr>
        <w:ilvl w:val="0"/>
        <w:numId w:val="3"/>
      </w:numPr>
      <w:contextualSpacing/>
    </w:pPr>
    <w:rPr>
      <w:rFonts w:ascii="Arial" w:hAnsi="Arial"/>
      <w:color w:val="000000"/>
    </w:rPr>
  </w:style>
  <w:style w:type="paragraph" w:styleId="17">
    <w:name w:val="Body Text 3"/>
    <w:basedOn w:val="1"/>
    <w:link w:val="148"/>
    <w:unhideWhenUsed/>
    <w:uiPriority w:val="99"/>
    <w:pPr>
      <w:spacing w:after="120"/>
    </w:pPr>
    <w:rPr>
      <w:rFonts w:ascii="Arial" w:hAnsi="Arial"/>
      <w:color w:val="000000"/>
      <w:sz w:val="16"/>
      <w:szCs w:val="16"/>
    </w:rPr>
  </w:style>
  <w:style w:type="paragraph" w:styleId="18">
    <w:name w:val="List Bullet 3"/>
    <w:basedOn w:val="1"/>
    <w:unhideWhenUsed/>
    <w:uiPriority w:val="99"/>
    <w:pPr>
      <w:numPr>
        <w:ilvl w:val="0"/>
        <w:numId w:val="4"/>
      </w:numPr>
      <w:contextualSpacing/>
    </w:pPr>
    <w:rPr>
      <w:rFonts w:ascii="Arial" w:hAnsi="Arial"/>
      <w:color w:val="000000"/>
    </w:rPr>
  </w:style>
  <w:style w:type="paragraph" w:styleId="19">
    <w:name w:val="Body Text"/>
    <w:basedOn w:val="1"/>
    <w:link w:val="146"/>
    <w:unhideWhenUsed/>
    <w:uiPriority w:val="99"/>
    <w:pPr>
      <w:spacing w:after="120"/>
    </w:pPr>
    <w:rPr>
      <w:rFonts w:ascii="Arial" w:hAnsi="Arial"/>
      <w:color w:val="000000"/>
    </w:rPr>
  </w:style>
  <w:style w:type="paragraph" w:styleId="20">
    <w:name w:val="List Number 3"/>
    <w:basedOn w:val="1"/>
    <w:unhideWhenUsed/>
    <w:uiPriority w:val="99"/>
    <w:pPr>
      <w:numPr>
        <w:ilvl w:val="0"/>
        <w:numId w:val="5"/>
      </w:numPr>
      <w:contextualSpacing/>
    </w:pPr>
    <w:rPr>
      <w:rFonts w:ascii="Arial" w:hAnsi="Arial"/>
      <w:color w:val="000000"/>
    </w:rPr>
  </w:style>
  <w:style w:type="paragraph" w:styleId="21">
    <w:name w:val="List 2"/>
    <w:basedOn w:val="1"/>
    <w:unhideWhenUsed/>
    <w:uiPriority w:val="99"/>
    <w:pPr>
      <w:ind w:left="720" w:hanging="360"/>
      <w:contextualSpacing/>
    </w:pPr>
    <w:rPr>
      <w:rFonts w:ascii="Arial" w:hAnsi="Arial"/>
      <w:color w:val="000000"/>
    </w:rPr>
  </w:style>
  <w:style w:type="paragraph" w:styleId="22">
    <w:name w:val="List Continue"/>
    <w:basedOn w:val="1"/>
    <w:unhideWhenUsed/>
    <w:uiPriority w:val="99"/>
    <w:pPr>
      <w:spacing w:after="120"/>
      <w:ind w:left="360"/>
      <w:contextualSpacing/>
    </w:pPr>
    <w:rPr>
      <w:rFonts w:ascii="Arial" w:hAnsi="Arial"/>
      <w:color w:val="000000"/>
    </w:rPr>
  </w:style>
  <w:style w:type="paragraph" w:styleId="23">
    <w:name w:val="List Bullet 2"/>
    <w:basedOn w:val="1"/>
    <w:unhideWhenUsed/>
    <w:uiPriority w:val="99"/>
    <w:pPr>
      <w:numPr>
        <w:ilvl w:val="0"/>
        <w:numId w:val="6"/>
      </w:numPr>
      <w:contextualSpacing/>
    </w:pPr>
    <w:rPr>
      <w:rFonts w:ascii="Arial" w:hAnsi="Arial"/>
      <w:color w:val="000000"/>
    </w:rPr>
  </w:style>
  <w:style w:type="paragraph" w:styleId="24">
    <w:name w:val="footer"/>
    <w:basedOn w:val="1"/>
    <w:link w:val="138"/>
    <w:unhideWhenUsed/>
    <w:uiPriority w:val="99"/>
    <w:pPr>
      <w:tabs>
        <w:tab w:val="center" w:pos="4680"/>
        <w:tab w:val="right" w:pos="9360"/>
      </w:tabs>
      <w:spacing w:after="0" w:line="240" w:lineRule="auto"/>
    </w:pPr>
    <w:rPr>
      <w:rFonts w:ascii="Arial" w:hAnsi="Arial"/>
      <w:color w:val="000000"/>
    </w:rPr>
  </w:style>
  <w:style w:type="paragraph" w:styleId="25">
    <w:name w:val="header"/>
    <w:basedOn w:val="1"/>
    <w:link w:val="137"/>
    <w:unhideWhenUsed/>
    <w:uiPriority w:val="99"/>
    <w:pPr>
      <w:tabs>
        <w:tab w:val="center" w:pos="4680"/>
        <w:tab w:val="right" w:pos="9360"/>
      </w:tabs>
      <w:spacing w:after="0" w:line="240" w:lineRule="auto"/>
    </w:pPr>
    <w:rPr>
      <w:rFonts w:ascii="Arial" w:hAnsi="Arial"/>
      <w:color w:val="000000"/>
    </w:rPr>
  </w:style>
  <w:style w:type="paragraph" w:styleId="26">
    <w:name w:val="toc 1"/>
    <w:basedOn w:val="1"/>
    <w:next w:val="1"/>
    <w:semiHidden/>
    <w:unhideWhenUsed/>
    <w:uiPriority w:val="39"/>
  </w:style>
  <w:style w:type="paragraph" w:styleId="27">
    <w:name w:val="Subtitle"/>
    <w:basedOn w:val="1"/>
    <w:next w:val="1"/>
    <w:link w:val="144"/>
    <w:qFormat/>
    <w:uiPriority w:val="11"/>
    <w:rPr>
      <w:rFonts w:asciiTheme="majorHAnsi" w:hAnsiTheme="majorHAnsi" w:eastAsiaTheme="majorEastAsia" w:cstheme="majorBidi"/>
      <w:i/>
      <w:iCs/>
      <w:color w:val="000000"/>
      <w:spacing w:val="15"/>
      <w:sz w:val="24"/>
      <w:szCs w:val="24"/>
    </w:rPr>
  </w:style>
  <w:style w:type="paragraph" w:styleId="28">
    <w:name w:val="List"/>
    <w:basedOn w:val="1"/>
    <w:unhideWhenUsed/>
    <w:uiPriority w:val="99"/>
    <w:pPr>
      <w:ind w:left="360" w:hanging="360"/>
      <w:contextualSpacing/>
    </w:pPr>
    <w:rPr>
      <w:rFonts w:ascii="Arial" w:hAnsi="Arial"/>
      <w:color w:val="000000"/>
    </w:rPr>
  </w:style>
  <w:style w:type="paragraph" w:styleId="29">
    <w:name w:val="toc 2"/>
    <w:basedOn w:val="1"/>
    <w:next w:val="1"/>
    <w:semiHidden/>
    <w:unhideWhenUsed/>
    <w:uiPriority w:val="39"/>
    <w:pPr>
      <w:ind w:left="420" w:leftChars="200"/>
    </w:pPr>
  </w:style>
  <w:style w:type="paragraph" w:styleId="30">
    <w:name w:val="Body Text 2"/>
    <w:basedOn w:val="1"/>
    <w:link w:val="147"/>
    <w:unhideWhenUsed/>
    <w:uiPriority w:val="99"/>
    <w:pPr>
      <w:spacing w:after="120" w:line="480" w:lineRule="auto"/>
    </w:pPr>
    <w:rPr>
      <w:rFonts w:ascii="Arial" w:hAnsi="Arial"/>
      <w:color w:val="000000"/>
    </w:rPr>
  </w:style>
  <w:style w:type="paragraph" w:styleId="31">
    <w:name w:val="List Continue 2"/>
    <w:basedOn w:val="1"/>
    <w:unhideWhenUsed/>
    <w:uiPriority w:val="99"/>
    <w:pPr>
      <w:spacing w:after="120"/>
      <w:ind w:left="720"/>
      <w:contextualSpacing/>
    </w:pPr>
    <w:rPr>
      <w:rFonts w:ascii="Arial" w:hAnsi="Arial"/>
      <w:color w:val="000000"/>
    </w:rPr>
  </w:style>
  <w:style w:type="paragraph" w:styleId="32">
    <w:name w:val="List Continue 3"/>
    <w:basedOn w:val="1"/>
    <w:unhideWhenUsed/>
    <w:uiPriority w:val="99"/>
    <w:pPr>
      <w:spacing w:after="120"/>
      <w:ind w:left="1080"/>
      <w:contextualSpacing/>
    </w:pPr>
    <w:rPr>
      <w:rFonts w:ascii="Arial" w:hAnsi="Arial"/>
      <w:color w:val="000000"/>
    </w:rPr>
  </w:style>
  <w:style w:type="paragraph" w:styleId="33">
    <w:name w:val="Title"/>
    <w:basedOn w:val="1"/>
    <w:next w:val="1"/>
    <w:link w:val="143"/>
    <w:qFormat/>
    <w:uiPriority w:val="10"/>
    <w:pPr>
      <w:keepNext/>
      <w:spacing w:before="0" w:after="140" w:line="240" w:lineRule="auto"/>
      <w:contextualSpacing/>
    </w:pPr>
    <w:rPr>
      <w:rFonts w:asciiTheme="majorHAnsi" w:hAnsiTheme="majorHAnsi" w:eastAsiaTheme="majorEastAsia" w:cstheme="majorBidi"/>
      <w:color w:val="000000"/>
      <w:spacing w:val="5"/>
      <w:kern w:val="28"/>
      <w:sz w:val="42"/>
      <w:szCs w:val="52"/>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Arial" w:hAnsi="Arial" w:eastAsiaTheme="minorEastAsia" w:cstheme="minorBidi"/>
      <w:color w:val="000000"/>
      <w:sz w:val="22"/>
      <w:szCs w:val="22"/>
      <w:lang w:val="en-US" w:eastAsia="en-US" w:bidi="ar-SA"/>
    </w:rPr>
  </w:style>
  <w:style w:type="character" w:customStyle="1" w:styleId="140">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rPr>
      <w:rFonts w:ascii="Arial" w:hAnsi="Arial"/>
      <w:color w:val="000000"/>
    </w:rPr>
  </w:style>
  <w:style w:type="character" w:customStyle="1" w:styleId="146">
    <w:name w:val="Body Text Char"/>
    <w:basedOn w:val="134"/>
    <w:link w:val="19"/>
    <w:uiPriority w:val="99"/>
  </w:style>
  <w:style w:type="character" w:customStyle="1" w:styleId="147">
    <w:name w:val="Body Text 2 Char"/>
    <w:basedOn w:val="134"/>
    <w:link w:val="30"/>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uiPriority w:val="99"/>
    <w:rPr>
      <w:rFonts w:ascii="Courier" w:hAnsi="Courier"/>
      <w:sz w:val="20"/>
      <w:szCs w:val="20"/>
    </w:rPr>
  </w:style>
  <w:style w:type="paragraph" w:styleId="150">
    <w:name w:val="Quote"/>
    <w:basedOn w:val="1"/>
    <w:next w:val="1"/>
    <w:link w:val="151"/>
    <w:qFormat/>
    <w:uiPriority w:val="29"/>
    <w:rPr>
      <w:rFonts w:ascii="Arial" w:hAnsi="Arial"/>
      <w:i/>
      <w:iCs/>
      <w:color w:val="000000"/>
    </w:rPr>
  </w:style>
  <w:style w:type="character" w:customStyle="1" w:styleId="151">
    <w:name w:val="Quote Char"/>
    <w:basedOn w:val="134"/>
    <w:link w:val="150"/>
    <w:uiPriority w:val="29"/>
    <w:rPr>
      <w:i/>
      <w:iCs/>
      <w:color w:val="000000" w:themeColor="text1"/>
      <w14:textFill>
        <w14:solidFill>
          <w14:schemeClr w14:val="tx1"/>
        </w14:solidFill>
      </w14:textFill>
    </w:rPr>
  </w:style>
  <w:style w:type="character" w:customStyle="1" w:styleId="152">
    <w:name w:val="Heading 4 Char"/>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spacing w:before="200" w:after="280"/>
      <w:ind w:left="936" w:right="936"/>
    </w:pPr>
    <w:rPr>
      <w:rFonts w:ascii="Arial" w:hAnsi="Arial"/>
      <w:b/>
      <w:bCs/>
      <w:i/>
      <w:iCs/>
      <w:color w:val="000000"/>
    </w:rPr>
  </w:style>
  <w:style w:type="character" w:customStyle="1" w:styleId="159">
    <w:name w:val="Intense Quote Char"/>
    <w:basedOn w:val="134"/>
    <w:link w:val="158"/>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rPr>
      <w:rFonts w:ascii="Arial" w:hAnsi="Arial"/>
      <w:color w:val="00000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CueSpec Research Editors</dc:creator>
  <dc:description>generated by python-docx</dc:description>
  <cp:lastModifiedBy>WPS_1712646977</cp:lastModifiedBy>
  <dcterms:modified xsi:type="dcterms:W3CDTF">2026-10-22T09:03:39Z</dcterms:modified>
  <dc:subject>Original fictional exhibition essay</dc:subject>
  <dc:title>An Interpretation of the Small Journeys Exhibition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07D2D8ABF8D1F494EB60D96A1835573D_42</vt:lpwstr>
  </property>
</Properties>
</file>